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24C1" w14:textId="71362542" w:rsidR="00703348" w:rsidRPr="00703348" w:rsidRDefault="00703348" w:rsidP="00703348">
      <w:pPr>
        <w:jc w:val="center"/>
        <w:rPr>
          <w:b/>
          <w:bCs/>
          <w:i/>
          <w:iCs/>
          <w:sz w:val="32"/>
          <w:szCs w:val="32"/>
        </w:rPr>
      </w:pPr>
      <w:r w:rsidRPr="00703348">
        <w:rPr>
          <w:b/>
          <w:bCs/>
          <w:i/>
          <w:iCs/>
          <w:sz w:val="32"/>
          <w:szCs w:val="32"/>
        </w:rPr>
        <w:t>Why We Need a Prescription Drug Affordability Board (PDAB)</w:t>
      </w:r>
    </w:p>
    <w:p w14:paraId="2DE68E71" w14:textId="5D1DB178" w:rsidR="0099402A" w:rsidRPr="00941FDF" w:rsidRDefault="00C52E5C">
      <w:pPr>
        <w:rPr>
          <w:i/>
          <w:iCs/>
          <w:sz w:val="28"/>
          <w:szCs w:val="28"/>
        </w:rPr>
      </w:pPr>
      <w:r w:rsidRPr="00941FDF">
        <w:rPr>
          <w:i/>
          <w:iCs/>
          <w:sz w:val="28"/>
          <w:szCs w:val="28"/>
        </w:rPr>
        <w:t>Why is a PDAB Important?</w:t>
      </w:r>
    </w:p>
    <w:p w14:paraId="5972F672" w14:textId="052A822E" w:rsidR="0085724D" w:rsidRDefault="00C52E5C">
      <w:r>
        <w:t xml:space="preserve">The price of drugs continues to escalate – even </w:t>
      </w:r>
      <w:r w:rsidR="004D028A">
        <w:t>during</w:t>
      </w:r>
      <w:r>
        <w:t xml:space="preserve"> a global pandemic. </w:t>
      </w:r>
      <w:r w:rsidR="00DC53E1">
        <w:t xml:space="preserve"> A June 2020 </w:t>
      </w:r>
      <w:r w:rsidR="00636C76">
        <w:t xml:space="preserve">Gallup </w:t>
      </w:r>
      <w:hyperlink r:id="rId8" w:history="1">
        <w:r w:rsidR="00636C76" w:rsidRPr="00636C76">
          <w:rPr>
            <w:rStyle w:val="Hyperlink"/>
          </w:rPr>
          <w:t>survey</w:t>
        </w:r>
      </w:hyperlink>
      <w:r w:rsidR="00636C76">
        <w:t xml:space="preserve"> found that </w:t>
      </w:r>
      <w:r>
        <w:t xml:space="preserve">90% of Americans worry that drug companies will take advantage of the pandemic to raise drugs prices.  </w:t>
      </w:r>
      <w:hyperlink r:id="rId9" w:history="1">
        <w:r w:rsidR="00EC769E" w:rsidRPr="001D1405">
          <w:rPr>
            <w:rStyle w:val="Hyperlink"/>
          </w:rPr>
          <w:t>One hundred companies</w:t>
        </w:r>
      </w:hyperlink>
      <w:r w:rsidR="00EC769E">
        <w:t xml:space="preserve"> raised prices</w:t>
      </w:r>
      <w:r w:rsidR="00757BA7">
        <w:t xml:space="preserve"> on 636 drugs </w:t>
      </w:r>
      <w:r w:rsidR="00AD619F">
        <w:t>i</w:t>
      </w:r>
      <w:r w:rsidR="001B757A">
        <w:t>n the first days of 2021</w:t>
      </w:r>
      <w:r w:rsidR="00AD619F">
        <w:t xml:space="preserve"> with the median increase </w:t>
      </w:r>
      <w:r w:rsidR="0033137F">
        <w:t>of</w:t>
      </w:r>
      <w:r w:rsidR="00AD619F">
        <w:t xml:space="preserve"> 5%</w:t>
      </w:r>
      <w:r w:rsidR="001B757A">
        <w:t xml:space="preserve"> and those were only the early announcements</w:t>
      </w:r>
      <w:r w:rsidR="0011580F">
        <w:t xml:space="preserve">.  </w:t>
      </w:r>
      <w:r w:rsidR="00AB2655">
        <w:t xml:space="preserve">In 2020, </w:t>
      </w:r>
      <w:r w:rsidR="00D717ED">
        <w:t xml:space="preserve">prices were raised an average of 5.5% </w:t>
      </w:r>
      <w:r w:rsidR="00BC0B35">
        <w:t>on 860 drugs</w:t>
      </w:r>
      <w:r w:rsidR="00AB2655">
        <w:t>.</w:t>
      </w:r>
      <w:r w:rsidR="00BC0B35">
        <w:t xml:space="preserve"> </w:t>
      </w:r>
      <w:r w:rsidR="00AB2655">
        <w:t xml:space="preserve">The public has reason to worry. </w:t>
      </w:r>
      <w:r w:rsidR="0021320B">
        <w:t xml:space="preserve">List prices are the basis of what pharmacies pay and what patients pay. </w:t>
      </w:r>
    </w:p>
    <w:p w14:paraId="03E4BAF6" w14:textId="3E31BC1E" w:rsidR="000731A0" w:rsidRDefault="00956199">
      <w:r>
        <w:t xml:space="preserve">Drugs </w:t>
      </w:r>
      <w:r w:rsidR="00ED7F0F">
        <w:t>prices</w:t>
      </w:r>
      <w:r w:rsidR="00987019">
        <w:t xml:space="preserve"> consistently</w:t>
      </w:r>
      <w:hyperlink r:id="rId10" w:history="1">
        <w:r w:rsidR="00ED7F0F" w:rsidRPr="00ED7F0F">
          <w:rPr>
            <w:rStyle w:val="Hyperlink"/>
          </w:rPr>
          <w:t xml:space="preserve"> rise</w:t>
        </w:r>
      </w:hyperlink>
      <w:r w:rsidR="00ED7F0F">
        <w:t xml:space="preserve"> </w:t>
      </w:r>
      <w:r w:rsidR="00A43B21">
        <w:t xml:space="preserve">faster than inflation and </w:t>
      </w:r>
      <w:r w:rsidR="00820DC2">
        <w:t xml:space="preserve">rise </w:t>
      </w:r>
      <w:r w:rsidR="00A43B21">
        <w:t xml:space="preserve">higher than other </w:t>
      </w:r>
      <w:r w:rsidR="003B12B9">
        <w:t xml:space="preserve">consumer goods.  As a result, drugs </w:t>
      </w:r>
      <w:r>
        <w:t>are increasingly</w:t>
      </w:r>
      <w:r w:rsidR="00ED7F0F">
        <w:t xml:space="preserve"> </w:t>
      </w:r>
      <w:r>
        <w:t>unaffordable for the average consumer</w:t>
      </w:r>
      <w:r w:rsidR="00402130">
        <w:t>;</w:t>
      </w:r>
      <w:r>
        <w:t xml:space="preserve"> escalating drug prices force insurers to increase premiums for all of us.</w:t>
      </w:r>
      <w:r w:rsidR="00C52E5C">
        <w:t xml:space="preserve">  </w:t>
      </w:r>
      <w:r w:rsidR="00DF3D53">
        <w:t xml:space="preserve">Government programs are similarly challenged to manage ever rising drug costs in the context of </w:t>
      </w:r>
      <w:r w:rsidR="002627C0">
        <w:t xml:space="preserve">budgets that must provide an array of services to </w:t>
      </w:r>
      <w:r w:rsidR="00BA0690">
        <w:t>large</w:t>
      </w:r>
      <w:r w:rsidR="00AA768F">
        <w:t xml:space="preserve"> and diverse</w:t>
      </w:r>
      <w:r w:rsidR="00BA0690">
        <w:t xml:space="preserve"> populations.  A PDAB with statewide authority to set upper payment limits for some high cost/high spend drugs can help </w:t>
      </w:r>
      <w:r w:rsidR="00CA585B">
        <w:t xml:space="preserve">patients, payers, </w:t>
      </w:r>
      <w:r w:rsidR="001859E6">
        <w:t>purchasers,</w:t>
      </w:r>
      <w:r w:rsidR="00CA585B">
        <w:t xml:space="preserve"> and providers manage this increasingly challenging situation. </w:t>
      </w:r>
      <w:r w:rsidR="000731A0">
        <w:t xml:space="preserve"> The Appendix provides a quick review of </w:t>
      </w:r>
      <w:r w:rsidR="006562DD">
        <w:t xml:space="preserve">the trends </w:t>
      </w:r>
      <w:r w:rsidR="00A8749F">
        <w:t>among t</w:t>
      </w:r>
      <w:r w:rsidR="006562DD">
        <w:t xml:space="preserve">he most expensive drugs and what </w:t>
      </w:r>
      <w:r w:rsidR="00A8749F">
        <w:t>these drugs</w:t>
      </w:r>
      <w:r w:rsidR="006562DD">
        <w:t xml:space="preserve"> mean for prescription drug affordability in the future.  </w:t>
      </w:r>
    </w:p>
    <w:p w14:paraId="38F5556D" w14:textId="6CB5939A" w:rsidR="008A4E9A" w:rsidRPr="00941FDF" w:rsidRDefault="008A4E9A" w:rsidP="00C52E5C">
      <w:pPr>
        <w:rPr>
          <w:i/>
          <w:iCs/>
          <w:sz w:val="28"/>
          <w:szCs w:val="28"/>
        </w:rPr>
      </w:pPr>
      <w:r w:rsidRPr="00941FDF">
        <w:rPr>
          <w:i/>
          <w:iCs/>
          <w:sz w:val="28"/>
          <w:szCs w:val="28"/>
        </w:rPr>
        <w:t>How Would a PDAB Work:</w:t>
      </w:r>
    </w:p>
    <w:p w14:paraId="59B20C67" w14:textId="1C10138C" w:rsidR="008A4E9A" w:rsidRDefault="008A4E9A" w:rsidP="00C52E5C">
      <w:r>
        <w:t xml:space="preserve">A PDAB would operate much like </w:t>
      </w:r>
      <w:r w:rsidR="0083262A">
        <w:t xml:space="preserve">a </w:t>
      </w:r>
      <w:r>
        <w:t>state’</w:t>
      </w:r>
      <w:r w:rsidR="0083262A">
        <w:t>s</w:t>
      </w:r>
      <w:r>
        <w:t xml:space="preserve"> public service commission – determining what consumers will pay and suppliers can charge for vital public services. PDAB, like public service commissions</w:t>
      </w:r>
      <w:r w:rsidR="00585BB4">
        <w:t>,</w:t>
      </w:r>
      <w:r>
        <w:t xml:space="preserve"> would balance consumer affordability with revenue needs of suppliers – revenues that allow service improvements.  The public service commission analogy is apt because the drugs of concern to a PDAB will </w:t>
      </w:r>
      <w:r w:rsidR="00194070">
        <w:t xml:space="preserve">most likely </w:t>
      </w:r>
      <w:r>
        <w:t xml:space="preserve">be drugs that hold a relative monopoly position – drugs with only one or </w:t>
      </w:r>
      <w:r w:rsidR="007A1495">
        <w:t>few</w:t>
      </w:r>
      <w:r>
        <w:t xml:space="preserve"> </w:t>
      </w:r>
      <w:r w:rsidR="007A1495">
        <w:t>c</w:t>
      </w:r>
      <w:r>
        <w:t xml:space="preserve">ompeting manufacturers where the price increase of one company is followed by the other drugs with similar therapeutic effects.  </w:t>
      </w:r>
    </w:p>
    <w:p w14:paraId="3213DEE9" w14:textId="64117BAB" w:rsidR="001F6B6A" w:rsidRPr="00941FDF" w:rsidRDefault="001F6B6A" w:rsidP="00C52E5C">
      <w:pPr>
        <w:rPr>
          <w:i/>
          <w:iCs/>
          <w:sz w:val="28"/>
          <w:szCs w:val="28"/>
        </w:rPr>
      </w:pPr>
      <w:r w:rsidRPr="00941FDF">
        <w:rPr>
          <w:i/>
          <w:iCs/>
          <w:sz w:val="28"/>
          <w:szCs w:val="28"/>
        </w:rPr>
        <w:t>A PDAB Would Not Regulate Manufacturer List Prices</w:t>
      </w:r>
    </w:p>
    <w:p w14:paraId="6FD1F97D" w14:textId="6A45B837" w:rsidR="008A4E9A" w:rsidRDefault="001F6B6A" w:rsidP="00C52E5C">
      <w:r>
        <w:t xml:space="preserve">The PDAB would regulate </w:t>
      </w:r>
      <w:r w:rsidR="00F760AC">
        <w:t xml:space="preserve">in-state </w:t>
      </w:r>
      <w:r w:rsidR="00AC7A4F">
        <w:t xml:space="preserve">the </w:t>
      </w:r>
      <w:r w:rsidR="00F760AC">
        <w:t>charges and payments</w:t>
      </w:r>
      <w:r w:rsidR="006B6B96">
        <w:t xml:space="preserve"> </w:t>
      </w:r>
      <w:r w:rsidR="00073DFF">
        <w:t xml:space="preserve">made </w:t>
      </w:r>
      <w:r w:rsidR="006B6B96">
        <w:t xml:space="preserve">for a particular drug among </w:t>
      </w:r>
      <w:r>
        <w:t xml:space="preserve">state-licensed healthcare entities – wholesalers, other distributors, pharmacies, hospitals, physicians, and insurers.  </w:t>
      </w:r>
      <w:r w:rsidR="00646C09">
        <w:t>Th</w:t>
      </w:r>
      <w:r w:rsidR="00061154">
        <w:t>e PDAB</w:t>
      </w:r>
      <w:r w:rsidR="00646C09">
        <w:t xml:space="preserve"> would s</w:t>
      </w:r>
      <w:r>
        <w:t xml:space="preserve">et an “upper payment limit” (UPL) for certain </w:t>
      </w:r>
      <w:r w:rsidR="00AC523A">
        <w:t>high-cost</w:t>
      </w:r>
      <w:r>
        <w:t xml:space="preserve"> drugs</w:t>
      </w:r>
      <w:r w:rsidR="00646C09">
        <w:t xml:space="preserve">. </w:t>
      </w:r>
      <w:r w:rsidR="00447E69">
        <w:t xml:space="preserve"> UPLs are common in the healthcare </w:t>
      </w:r>
      <w:r w:rsidR="001A3B9F">
        <w:t>industry – limits to what</w:t>
      </w:r>
      <w:r w:rsidR="00B874A0">
        <w:t xml:space="preserve"> providers and suppliers charge and what</w:t>
      </w:r>
      <w:r w:rsidR="001A3B9F">
        <w:t xml:space="preserve"> insurers will reimburse</w:t>
      </w:r>
      <w:r w:rsidR="00B874A0">
        <w:t>.</w:t>
      </w:r>
      <w:r w:rsidR="001A3B9F">
        <w:t xml:space="preserve"> </w:t>
      </w:r>
      <w:r w:rsidR="0061232E">
        <w:t>A</w:t>
      </w:r>
      <w:r w:rsidR="001A3B9F">
        <w:t xml:space="preserve"> statewide </w:t>
      </w:r>
      <w:r w:rsidR="00AC523A">
        <w:t>UPL limits</w:t>
      </w:r>
      <w:r w:rsidR="001A3B9F">
        <w:t xml:space="preserve"> what can be billed and paid</w:t>
      </w:r>
      <w:r w:rsidR="00E76483">
        <w:t xml:space="preserve"> statewide.</w:t>
      </w:r>
      <w:r w:rsidR="00646C09">
        <w:t xml:space="preserve"> The UPL</w:t>
      </w:r>
      <w:r>
        <w:t xml:space="preserve"> uses the standard operating procedures</w:t>
      </w:r>
      <w:r w:rsidR="00DA6B31">
        <w:t xml:space="preserve"> of the existing supply chain where </w:t>
      </w:r>
      <w:r w:rsidR="007C1C0B">
        <w:t xml:space="preserve">supply chain participants </w:t>
      </w:r>
      <w:r>
        <w:t xml:space="preserve">negotiate </w:t>
      </w:r>
      <w:r w:rsidR="00E01FB0">
        <w:t xml:space="preserve">what they will charge and what they will pay.  </w:t>
      </w:r>
      <w:r w:rsidR="00283663">
        <w:t>Manufacturers</w:t>
      </w:r>
      <w:r w:rsidR="00463462">
        <w:t xml:space="preserve"> routinely</w:t>
      </w:r>
      <w:r w:rsidR="00283663">
        <w:t xml:space="preserve"> respond to this market dynamic </w:t>
      </w:r>
      <w:r w:rsidR="00463462">
        <w:t xml:space="preserve">every day for every drug in every market.  </w:t>
      </w:r>
      <w:r>
        <w:t>Manufacturer</w:t>
      </w:r>
      <w:r w:rsidR="004F23C9">
        <w:t>s routinely adjust</w:t>
      </w:r>
      <w:r>
        <w:t xml:space="preserve"> </w:t>
      </w:r>
      <w:r w:rsidR="00136335">
        <w:t xml:space="preserve">their </w:t>
      </w:r>
      <w:r w:rsidR="00AC523A">
        <w:t xml:space="preserve">charges </w:t>
      </w:r>
      <w:r w:rsidR="00292E00">
        <w:t xml:space="preserve">through negotiations </w:t>
      </w:r>
      <w:r w:rsidR="0083262A">
        <w:t xml:space="preserve">with providers or the </w:t>
      </w:r>
      <w:r>
        <w:t xml:space="preserve">supply chain when payer reimbursement does not </w:t>
      </w:r>
      <w:r w:rsidR="00292E00">
        <w:t>cover the</w:t>
      </w:r>
      <w:r>
        <w:t xml:space="preserve"> pro</w:t>
      </w:r>
      <w:r w:rsidR="00AC523A">
        <w:t xml:space="preserve">viders cost to stock the product. </w:t>
      </w:r>
      <w:r>
        <w:t xml:space="preserve">  </w:t>
      </w:r>
    </w:p>
    <w:p w14:paraId="4D0B5133" w14:textId="2EC0E1D5" w:rsidR="001F6B6A" w:rsidRPr="00970DD2" w:rsidRDefault="008A4E9A" w:rsidP="00C52E5C">
      <w:pPr>
        <w:rPr>
          <w:i/>
          <w:iCs/>
          <w:sz w:val="28"/>
          <w:szCs w:val="28"/>
        </w:rPr>
      </w:pPr>
      <w:r w:rsidRPr="00970DD2">
        <w:rPr>
          <w:i/>
          <w:iCs/>
          <w:sz w:val="28"/>
          <w:szCs w:val="28"/>
        </w:rPr>
        <w:t xml:space="preserve">How Would a PDAB </w:t>
      </w:r>
      <w:r w:rsidR="005672D1">
        <w:rPr>
          <w:i/>
          <w:iCs/>
          <w:sz w:val="28"/>
          <w:szCs w:val="28"/>
        </w:rPr>
        <w:t>D</w:t>
      </w:r>
      <w:r w:rsidRPr="00970DD2">
        <w:rPr>
          <w:i/>
          <w:iCs/>
          <w:sz w:val="28"/>
          <w:szCs w:val="28"/>
        </w:rPr>
        <w:t xml:space="preserve">ecide the Amount </w:t>
      </w:r>
      <w:r w:rsidR="001F6B6A" w:rsidRPr="00970DD2">
        <w:rPr>
          <w:i/>
          <w:iCs/>
          <w:sz w:val="28"/>
          <w:szCs w:val="28"/>
        </w:rPr>
        <w:t>T</w:t>
      </w:r>
      <w:r w:rsidRPr="00970DD2">
        <w:rPr>
          <w:i/>
          <w:iCs/>
          <w:sz w:val="28"/>
          <w:szCs w:val="28"/>
        </w:rPr>
        <w:t xml:space="preserve">hat </w:t>
      </w:r>
      <w:r w:rsidR="001F6B6A" w:rsidRPr="00970DD2">
        <w:rPr>
          <w:i/>
          <w:iCs/>
          <w:sz w:val="28"/>
          <w:szCs w:val="28"/>
        </w:rPr>
        <w:t>C</w:t>
      </w:r>
      <w:r w:rsidRPr="00970DD2">
        <w:rPr>
          <w:i/>
          <w:iCs/>
          <w:sz w:val="28"/>
          <w:szCs w:val="28"/>
        </w:rPr>
        <w:t xml:space="preserve">an </w:t>
      </w:r>
      <w:r w:rsidR="001F6B6A" w:rsidRPr="00970DD2">
        <w:rPr>
          <w:i/>
          <w:iCs/>
          <w:sz w:val="28"/>
          <w:szCs w:val="28"/>
        </w:rPr>
        <w:t>Be Billed</w:t>
      </w:r>
      <w:r w:rsidRPr="00970DD2">
        <w:rPr>
          <w:i/>
          <w:iCs/>
          <w:sz w:val="28"/>
          <w:szCs w:val="28"/>
        </w:rPr>
        <w:t xml:space="preserve"> or Paid for a Drug?</w:t>
      </w:r>
      <w:r w:rsidR="001F6B6A" w:rsidRPr="00970DD2">
        <w:rPr>
          <w:i/>
          <w:iCs/>
          <w:sz w:val="28"/>
          <w:szCs w:val="28"/>
        </w:rPr>
        <w:t xml:space="preserve"> </w:t>
      </w:r>
    </w:p>
    <w:p w14:paraId="14E9F6D6" w14:textId="74555BFD" w:rsidR="008A4E9A" w:rsidRDefault="001F6B6A" w:rsidP="00C52E5C">
      <w:r>
        <w:t xml:space="preserve">Every PDAB will approach their task differently.  The overarching goal </w:t>
      </w:r>
      <w:r w:rsidR="00136335">
        <w:t xml:space="preserve">of any PDAB </w:t>
      </w:r>
      <w:r>
        <w:t xml:space="preserve">is to find </w:t>
      </w:r>
      <w:r w:rsidR="00136335">
        <w:t xml:space="preserve">UPL </w:t>
      </w:r>
      <w:r>
        <w:t xml:space="preserve">at which insurers, purchasers, </w:t>
      </w:r>
      <w:r w:rsidR="00136335">
        <w:t xml:space="preserve">and </w:t>
      </w:r>
      <w:r>
        <w:t xml:space="preserve">government programs can afford to provide the drug to everyone </w:t>
      </w:r>
      <w:r w:rsidR="00136335">
        <w:t xml:space="preserve">in the state </w:t>
      </w:r>
      <w:r w:rsidR="00C4605A">
        <w:t>who should get the drug.  The point</w:t>
      </w:r>
      <w:r w:rsidR="00136335">
        <w:t xml:space="preserve"> of an </w:t>
      </w:r>
      <w:proofErr w:type="gramStart"/>
      <w:r w:rsidR="00136335">
        <w:t xml:space="preserve">UPL </w:t>
      </w:r>
      <w:r w:rsidR="00C4605A">
        <w:t xml:space="preserve"> is</w:t>
      </w:r>
      <w:proofErr w:type="gramEnd"/>
      <w:r w:rsidR="00C4605A">
        <w:t xml:space="preserve"> to </w:t>
      </w:r>
      <w:r w:rsidR="00C4605A" w:rsidRPr="00136335">
        <w:rPr>
          <w:i/>
          <w:iCs/>
        </w:rPr>
        <w:t xml:space="preserve">expand </w:t>
      </w:r>
      <w:r w:rsidR="00C4605A">
        <w:t>sales and patient access.  The purpose is not to reduce manufacturer revenue</w:t>
      </w:r>
      <w:r w:rsidR="00222CFF">
        <w:t>.</w:t>
      </w:r>
      <w:r w:rsidR="00732E7B">
        <w:t xml:space="preserve"> The PDAB function is not punitive.</w:t>
      </w:r>
      <w:r w:rsidR="00C4605A">
        <w:t xml:space="preserve">  </w:t>
      </w:r>
    </w:p>
    <w:p w14:paraId="0B2FD6FB" w14:textId="2307FE9A" w:rsidR="00C4605A" w:rsidRDefault="00C4605A" w:rsidP="00C52E5C">
      <w:r>
        <w:t>Most likely, the PDAB will access publicly available pricing</w:t>
      </w:r>
      <w:r w:rsidR="00732E7B">
        <w:t xml:space="preserve"> and cost</w:t>
      </w:r>
      <w:r>
        <w:t xml:space="preserve"> information – some of which will come from subscription data services </w:t>
      </w:r>
      <w:r w:rsidR="009E46A5">
        <w:t>that track drug prices and price increases</w:t>
      </w:r>
      <w:r w:rsidR="00732E7B">
        <w:t xml:space="preserve"> (called </w:t>
      </w:r>
      <w:r w:rsidR="009E46A5">
        <w:t>pricing files</w:t>
      </w:r>
      <w:r w:rsidR="00732E7B">
        <w:t>)</w:t>
      </w:r>
      <w:r w:rsidR="009E46A5">
        <w:t xml:space="preserve">.  There are many such services but these two links give a sense of the service available: </w:t>
      </w:r>
      <w:r>
        <w:t xml:space="preserve"> </w:t>
      </w:r>
      <w:hyperlink r:id="rId11" w:history="1">
        <w:proofErr w:type="spellStart"/>
        <w:r w:rsidRPr="002E043A">
          <w:rPr>
            <w:rStyle w:val="Hyperlink"/>
          </w:rPr>
          <w:t>Medispan</w:t>
        </w:r>
        <w:proofErr w:type="spellEnd"/>
      </w:hyperlink>
      <w:r>
        <w:t xml:space="preserve"> or </w:t>
      </w:r>
      <w:hyperlink r:id="rId12" w:history="1">
        <w:proofErr w:type="spellStart"/>
        <w:r w:rsidRPr="009E46A5">
          <w:rPr>
            <w:rStyle w:val="Hyperlink"/>
          </w:rPr>
          <w:t>FirstDataBank</w:t>
        </w:r>
        <w:proofErr w:type="spellEnd"/>
      </w:hyperlink>
      <w:r w:rsidR="009E46A5">
        <w:t xml:space="preserve">. </w:t>
      </w:r>
      <w:r>
        <w:t xml:space="preserve"> There is also a dataset from </w:t>
      </w:r>
      <w:hyperlink r:id="rId13" w:history="1">
        <w:proofErr w:type="spellStart"/>
        <w:r w:rsidRPr="00C4605A">
          <w:rPr>
            <w:rStyle w:val="Hyperlink"/>
          </w:rPr>
          <w:t>SSRHealth</w:t>
        </w:r>
        <w:proofErr w:type="spellEnd"/>
      </w:hyperlink>
      <w:r>
        <w:t xml:space="preserve"> that estimates the commercial rebates in the </w:t>
      </w:r>
      <w:r w:rsidR="00BB1EB6">
        <w:t xml:space="preserve">US </w:t>
      </w:r>
      <w:r>
        <w:t>market</w:t>
      </w:r>
      <w:r w:rsidR="009C6FE3">
        <w:t xml:space="preserve"> for</w:t>
      </w:r>
      <w:r w:rsidR="001716AD">
        <w:t xml:space="preserve"> brand name drugs</w:t>
      </w:r>
      <w:r>
        <w:t>.</w:t>
      </w:r>
      <w:r w:rsidR="00D24AB6">
        <w:t xml:space="preserve">  </w:t>
      </w:r>
      <w:r>
        <w:t>A PDAB will also consult with state payers and purchaser</w:t>
      </w:r>
      <w:r w:rsidR="001716AD">
        <w:t>s</w:t>
      </w:r>
      <w:r>
        <w:t xml:space="preserve"> to learn, confidentially, </w:t>
      </w:r>
      <w:r w:rsidR="001716AD">
        <w:t xml:space="preserve">their </w:t>
      </w:r>
      <w:r>
        <w:t xml:space="preserve">net </w:t>
      </w:r>
      <w:r w:rsidR="001716AD">
        <w:t>costs</w:t>
      </w:r>
      <w:r>
        <w:t xml:space="preserve"> for a drug </w:t>
      </w:r>
      <w:r w:rsidR="00B403B9">
        <w:t>the PDAB is studying</w:t>
      </w:r>
      <w:r>
        <w:t xml:space="preserve">.  </w:t>
      </w:r>
      <w:r w:rsidR="00E33AB8">
        <w:t xml:space="preserve">Another data point </w:t>
      </w:r>
      <w:r w:rsidR="00E33AB8">
        <w:lastRenderedPageBreak/>
        <w:t xml:space="preserve">would the </w:t>
      </w:r>
      <w:hyperlink r:id="rId14" w:anchor="two" w:history="1">
        <w:r w:rsidR="00E33AB8" w:rsidRPr="007A3447">
          <w:rPr>
            <w:rStyle w:val="Hyperlink"/>
          </w:rPr>
          <w:t>V</w:t>
        </w:r>
        <w:r w:rsidR="00E94168" w:rsidRPr="007A3447">
          <w:rPr>
            <w:rStyle w:val="Hyperlink"/>
          </w:rPr>
          <w:t>eterans Administration National Contract Price</w:t>
        </w:r>
      </w:hyperlink>
      <w:r w:rsidR="00E94168">
        <w:t xml:space="preserve"> </w:t>
      </w:r>
      <w:r w:rsidR="00E33AB8">
        <w:t xml:space="preserve">and </w:t>
      </w:r>
      <w:hyperlink r:id="rId15" w:history="1">
        <w:r w:rsidR="00E33AB8" w:rsidRPr="00E33AB8">
          <w:rPr>
            <w:rStyle w:val="Hyperlink"/>
          </w:rPr>
          <w:t>Federal Supply Schedule (FSS)</w:t>
        </w:r>
      </w:hyperlink>
      <w:r w:rsidR="008B6849">
        <w:rPr>
          <w:rStyle w:val="FootnoteReference"/>
        </w:rPr>
        <w:footnoteReference w:id="1"/>
      </w:r>
      <w:r w:rsidR="00E33AB8">
        <w:t xml:space="preserve">prices, each of which are publicly available.  </w:t>
      </w:r>
      <w:r>
        <w:t xml:space="preserve">All these </w:t>
      </w:r>
      <w:r w:rsidR="00F02147">
        <w:t xml:space="preserve">public and publicly available </w:t>
      </w:r>
      <w:r>
        <w:t>data points will help a PDAB establish a</w:t>
      </w:r>
      <w:r w:rsidR="00E33AB8">
        <w:t>n affordabl</w:t>
      </w:r>
      <w:r w:rsidR="00937AC4">
        <w:t>e</w:t>
      </w:r>
      <w:r w:rsidR="00E33AB8">
        <w:t xml:space="preserve"> price </w:t>
      </w:r>
      <w:r w:rsidR="00937AC4">
        <w:t xml:space="preserve">that is </w:t>
      </w:r>
      <w:r w:rsidR="00E33AB8">
        <w:t xml:space="preserve">benchmarked against </w:t>
      </w:r>
      <w:r w:rsidR="00E33AB8" w:rsidRPr="00937AC4">
        <w:rPr>
          <w:i/>
          <w:iCs/>
        </w:rPr>
        <w:t>current</w:t>
      </w:r>
      <w:r w:rsidR="00BB1EB6" w:rsidRPr="00937AC4">
        <w:rPr>
          <w:i/>
          <w:iCs/>
        </w:rPr>
        <w:t xml:space="preserve"> US</w:t>
      </w:r>
      <w:r w:rsidR="00E33AB8" w:rsidRPr="00937AC4">
        <w:rPr>
          <w:i/>
          <w:iCs/>
        </w:rPr>
        <w:t xml:space="preserve"> market conditions</w:t>
      </w:r>
      <w:r w:rsidR="00E33AB8">
        <w:t xml:space="preserve">.  </w:t>
      </w:r>
      <w:r w:rsidR="009914F3">
        <w:t xml:space="preserve">This is </w:t>
      </w:r>
      <w:r w:rsidR="001859E6">
        <w:t>a quite different</w:t>
      </w:r>
      <w:r w:rsidR="009914F3">
        <w:t xml:space="preserve"> approach than benchmarking US prices to international prices</w:t>
      </w:r>
      <w:r w:rsidR="00330EFF">
        <w:t xml:space="preserve">.  It is also </w:t>
      </w:r>
      <w:r w:rsidR="001859E6">
        <w:t>vastly different</w:t>
      </w:r>
      <w:r w:rsidR="00330EFF">
        <w:t xml:space="preserve"> from price controls.  A PDAB would examine what is already available in the US market</w:t>
      </w:r>
      <w:r w:rsidR="003C5EAA">
        <w:t xml:space="preserve"> and be able to discern the best discounts in the</w:t>
      </w:r>
      <w:r w:rsidR="007D45E6">
        <w:t xml:space="preserve"> existing</w:t>
      </w:r>
      <w:r w:rsidR="003C5EAA">
        <w:t xml:space="preserve"> market </w:t>
      </w:r>
      <w:r w:rsidR="002E2492">
        <w:t xml:space="preserve">to </w:t>
      </w:r>
      <w:r w:rsidR="00681931">
        <w:t>set state-wide upper payment limit</w:t>
      </w:r>
      <w:r w:rsidR="00DD655C">
        <w:t xml:space="preserve"> based on existing US market information.  </w:t>
      </w:r>
    </w:p>
    <w:p w14:paraId="201F016A" w14:textId="2E254AC7" w:rsidR="00DD655C" w:rsidRDefault="00DD655C" w:rsidP="00C52E5C">
      <w:pPr>
        <w:rPr>
          <w:i/>
          <w:iCs/>
          <w:sz w:val="28"/>
          <w:szCs w:val="28"/>
        </w:rPr>
      </w:pPr>
      <w:r w:rsidRPr="00970DD2">
        <w:rPr>
          <w:i/>
          <w:iCs/>
          <w:sz w:val="28"/>
          <w:szCs w:val="28"/>
        </w:rPr>
        <w:t>Examples of US Market Pricing</w:t>
      </w:r>
      <w:r w:rsidR="00AF3D58" w:rsidRPr="00970DD2">
        <w:rPr>
          <w:i/>
          <w:iCs/>
          <w:sz w:val="28"/>
          <w:szCs w:val="28"/>
        </w:rPr>
        <w:t xml:space="preserve"> That a PDAB Might Use in Analys</w:t>
      </w:r>
      <w:r w:rsidR="00B30D1E" w:rsidRPr="00970DD2">
        <w:rPr>
          <w:i/>
          <w:iCs/>
          <w:sz w:val="28"/>
          <w:szCs w:val="28"/>
        </w:rPr>
        <w:t>i</w:t>
      </w:r>
      <w:r w:rsidR="00AF3D58" w:rsidRPr="00970DD2">
        <w:rPr>
          <w:i/>
          <w:iCs/>
          <w:sz w:val="28"/>
          <w:szCs w:val="28"/>
        </w:rPr>
        <w:t xml:space="preserve">s  </w:t>
      </w:r>
    </w:p>
    <w:p w14:paraId="27B743A6" w14:textId="40257514" w:rsidR="00661CEC" w:rsidRPr="00661CEC" w:rsidRDefault="00661CEC" w:rsidP="00C52E5C">
      <w:r>
        <w:t>The following</w:t>
      </w:r>
      <w:r w:rsidR="00ED7976">
        <w:t xml:space="preserve"> price</w:t>
      </w:r>
      <w:r w:rsidR="00447C90">
        <w:t xml:space="preserve"> and price concession</w:t>
      </w:r>
      <w:r>
        <w:t xml:space="preserve"> examples </w:t>
      </w:r>
      <w:r w:rsidR="00DC2209">
        <w:t xml:space="preserve">are from public databases, which may be subscription-based.  The data are average costs/prices across </w:t>
      </w:r>
      <w:r w:rsidR="00912376">
        <w:t>all the</w:t>
      </w:r>
      <w:r w:rsidR="002E2492">
        <w:t xml:space="preserve"> national drug codes</w:t>
      </w:r>
      <w:r w:rsidR="00912376">
        <w:t xml:space="preserve"> </w:t>
      </w:r>
      <w:r w:rsidR="002E2492">
        <w:t>(</w:t>
      </w:r>
      <w:r w:rsidR="00912376">
        <w:t>NDCs</w:t>
      </w:r>
      <w:r w:rsidR="002E2492">
        <w:t>)</w:t>
      </w:r>
      <w:r w:rsidR="00912376">
        <w:t xml:space="preserve"> of a product</w:t>
      </w:r>
      <w:r w:rsidR="00FF5466">
        <w:t xml:space="preserve"> (all different package sizes and dosage strengths)</w:t>
      </w:r>
      <w:r w:rsidR="00912376">
        <w:t xml:space="preserve">.  A PDAB could sort the data in different ways to arrive at more precise information.  </w:t>
      </w:r>
      <w:r w:rsidR="00272E27">
        <w:t>These data points are based on information</w:t>
      </w:r>
      <w:r w:rsidR="003E3A59">
        <w:t xml:space="preserve"> about prices in the U.S. market</w:t>
      </w:r>
      <w:r w:rsidR="00272E27">
        <w:t xml:space="preserve">, which is why </w:t>
      </w:r>
      <w:r w:rsidR="00CD48D9">
        <w:t xml:space="preserve">there are not more drug examples provided because the commercial market prices and discounts are </w:t>
      </w:r>
      <w:r w:rsidR="00377DD6">
        <w:t>not readily available without a paid subscription service</w:t>
      </w:r>
      <w:r w:rsidR="00254AFD">
        <w:t xml:space="preserve"> for list prices and commercial market discounts. </w:t>
      </w:r>
      <w:r w:rsidR="000D773E">
        <w:t xml:space="preserve"> Policymakers could start to estimate savings by comparing</w:t>
      </w:r>
      <w:r w:rsidR="002D30B2">
        <w:t xml:space="preserve"> current</w:t>
      </w:r>
      <w:r w:rsidR="000D773E">
        <w:t xml:space="preserve"> state employee claims costs</w:t>
      </w:r>
      <w:r w:rsidR="002D30B2">
        <w:t>/spending for the drugs below</w:t>
      </w:r>
      <w:r w:rsidR="000D773E">
        <w:t xml:space="preserve"> with </w:t>
      </w:r>
      <w:r w:rsidR="009D7967">
        <w:t xml:space="preserve">costs/spending if there was a UPL </w:t>
      </w:r>
      <w:r w:rsidR="008E7A97">
        <w:t xml:space="preserve">set at one of the discount benchmarks provided below. </w:t>
      </w:r>
    </w:p>
    <w:p w14:paraId="67BF82DA" w14:textId="5FFCA0D4" w:rsidR="00AC706C" w:rsidRDefault="009F7CAE" w:rsidP="00C52E5C">
      <w:r w:rsidRPr="00970DD2">
        <w:rPr>
          <w:i/>
          <w:iCs/>
        </w:rPr>
        <w:t xml:space="preserve">Rheumatoid </w:t>
      </w:r>
      <w:r w:rsidR="00281EA8" w:rsidRPr="00970DD2">
        <w:rPr>
          <w:i/>
          <w:iCs/>
        </w:rPr>
        <w:t>Arthritis</w:t>
      </w:r>
      <w:r w:rsidR="00BB5ABD">
        <w:rPr>
          <w:i/>
          <w:iCs/>
        </w:rPr>
        <w:t>/Autoimmune</w:t>
      </w:r>
      <w:r w:rsidR="005A1AA2" w:rsidRPr="00970DD2">
        <w:rPr>
          <w:i/>
          <w:iCs/>
        </w:rPr>
        <w:t>:</w:t>
      </w:r>
      <w:r w:rsidR="005A1AA2">
        <w:t xml:space="preserve"> </w:t>
      </w:r>
      <w:r w:rsidR="00AC706C" w:rsidRPr="0062753F">
        <w:rPr>
          <w:u w:val="single"/>
        </w:rPr>
        <w:t>Drug Channels</w:t>
      </w:r>
      <w:r w:rsidR="00AC706C">
        <w:t xml:space="preserve"> reports that the rheumatoid arthritis drug</w:t>
      </w:r>
      <w:r w:rsidR="007C11A0">
        <w:t xml:space="preserve"> Humira</w:t>
      </w:r>
      <w:r w:rsidR="00AC706C">
        <w:t xml:space="preserve"> </w:t>
      </w:r>
      <w:r w:rsidR="00813313">
        <w:t>(</w:t>
      </w:r>
      <w:hyperlink r:id="rId16" w:history="1">
        <w:r w:rsidR="00235B91" w:rsidRPr="00E42A7C">
          <w:rPr>
            <w:rStyle w:val="Hyperlink"/>
          </w:rPr>
          <w:t>cost</w:t>
        </w:r>
        <w:r w:rsidR="00813313" w:rsidRPr="00E42A7C">
          <w:rPr>
            <w:rStyle w:val="Hyperlink"/>
          </w:rPr>
          <w:t>ing</w:t>
        </w:r>
        <w:r w:rsidR="00E42A7C" w:rsidRPr="00E42A7C">
          <w:rPr>
            <w:rStyle w:val="Hyperlink"/>
          </w:rPr>
          <w:t xml:space="preserve"> $60,000/year</w:t>
        </w:r>
      </w:hyperlink>
      <w:r w:rsidR="00813313">
        <w:rPr>
          <w:rStyle w:val="Hyperlink"/>
        </w:rPr>
        <w:t>)</w:t>
      </w:r>
      <w:r w:rsidR="00235B91">
        <w:rPr>
          <w:rStyle w:val="Hyperlink"/>
        </w:rPr>
        <w:t xml:space="preserve"> </w:t>
      </w:r>
      <w:r w:rsidR="00375DC9">
        <w:t xml:space="preserve"> i</w:t>
      </w:r>
      <w:r w:rsidR="00AC706C">
        <w:t xml:space="preserve">s sold to </w:t>
      </w:r>
      <w:r w:rsidR="008A5949">
        <w:t xml:space="preserve">US public and private </w:t>
      </w:r>
      <w:r w:rsidR="00AC706C">
        <w:t xml:space="preserve">hospitals in the federal 340B program for </w:t>
      </w:r>
      <w:r w:rsidR="00DB7AF6">
        <w:t>$01/unit.</w:t>
      </w:r>
      <w:r w:rsidR="00AA52BD">
        <w:rPr>
          <w:rStyle w:val="FootnoteReference"/>
        </w:rPr>
        <w:footnoteReference w:id="2"/>
      </w:r>
      <w:r w:rsidR="00DB7AF6">
        <w:t xml:space="preserve">  </w:t>
      </w:r>
      <w:r w:rsidR="00863D9A">
        <w:t xml:space="preserve">The estimated </w:t>
      </w:r>
      <w:r w:rsidR="00962D06">
        <w:t xml:space="preserve">average Humira </w:t>
      </w:r>
      <w:r w:rsidR="008A5949">
        <w:t>commercial market rebate is about 30-40%</w:t>
      </w:r>
      <w:r w:rsidR="00E456BE">
        <w:t xml:space="preserve"> and the discounts to the VA and the FSS </w:t>
      </w:r>
      <w:r w:rsidR="00081B15">
        <w:t xml:space="preserve">top out at 70%.  </w:t>
      </w:r>
      <w:r w:rsidR="005D2183">
        <w:t xml:space="preserve">The </w:t>
      </w:r>
      <w:hyperlink r:id="rId17" w:history="1">
        <w:r w:rsidR="008D66B7">
          <w:rPr>
            <w:rStyle w:val="Hyperlink"/>
          </w:rPr>
          <w:t>annual</w:t>
        </w:r>
        <w:r w:rsidR="005D2183" w:rsidRPr="00437793">
          <w:rPr>
            <w:rStyle w:val="Hyperlink"/>
          </w:rPr>
          <w:t xml:space="preserve"> cost</w:t>
        </w:r>
      </w:hyperlink>
      <w:r w:rsidR="005D2183">
        <w:t xml:space="preserve"> of </w:t>
      </w:r>
      <w:r w:rsidR="00C30087">
        <w:t xml:space="preserve">Enbrel </w:t>
      </w:r>
      <w:r w:rsidR="005D2183">
        <w:t xml:space="preserve">is </w:t>
      </w:r>
      <w:r w:rsidR="008D66B7">
        <w:t xml:space="preserve">$67,000 </w:t>
      </w:r>
      <w:r w:rsidR="0087272E">
        <w:t xml:space="preserve">and the </w:t>
      </w:r>
      <w:r w:rsidR="00863D9A">
        <w:t xml:space="preserve">estimated </w:t>
      </w:r>
      <w:r w:rsidR="0087272E">
        <w:t xml:space="preserve">average market discount is </w:t>
      </w:r>
      <w:r w:rsidR="00FD523C">
        <w:t xml:space="preserve">35%, while FSS and VA discounts are </w:t>
      </w:r>
      <w:r w:rsidR="00BB5ABD">
        <w:t xml:space="preserve">over 50%.  </w:t>
      </w:r>
      <w:r w:rsidR="0096343A">
        <w:t>A PDAB would have those data points plus net cost data from state-license</w:t>
      </w:r>
      <w:r w:rsidR="00AC64B2">
        <w:t>d</w:t>
      </w:r>
      <w:r w:rsidR="0096343A">
        <w:t xml:space="preserve"> health plans</w:t>
      </w:r>
      <w:r w:rsidR="00282620">
        <w:t xml:space="preserve"> </w:t>
      </w:r>
      <w:r w:rsidR="001E222C">
        <w:t>when considering an upper payment limit</w:t>
      </w:r>
      <w:r w:rsidR="00583741">
        <w:t>.</w:t>
      </w:r>
      <w:r w:rsidR="00E456BE">
        <w:t xml:space="preserve"> </w:t>
      </w:r>
    </w:p>
    <w:p w14:paraId="486742DD" w14:textId="09ACD870" w:rsidR="0028657D" w:rsidRDefault="00281EA8" w:rsidP="00C52E5C">
      <w:r w:rsidRPr="00970DD2">
        <w:rPr>
          <w:i/>
          <w:iCs/>
        </w:rPr>
        <w:t>Diabetes:</w:t>
      </w:r>
      <w:r>
        <w:t xml:space="preserve">  </w:t>
      </w:r>
      <w:r w:rsidR="001D4CEA">
        <w:t xml:space="preserve">The pricing of insulin can be difficult – annual usage, pens, vials, </w:t>
      </w:r>
      <w:r w:rsidR="00415555">
        <w:t xml:space="preserve">concentrations, long acting, short acting.  There are a variety of ways </w:t>
      </w:r>
      <w:hyperlink r:id="rId18" w:history="1">
        <w:r w:rsidR="00415555" w:rsidRPr="00415555">
          <w:rPr>
            <w:rStyle w:val="Hyperlink"/>
          </w:rPr>
          <w:t>to compare prices</w:t>
        </w:r>
      </w:hyperlink>
      <w:r w:rsidR="005D14F9">
        <w:t xml:space="preserve"> but in general, a vial of insulin</w:t>
      </w:r>
      <w:r w:rsidR="00573C0D">
        <w:t>, which lasts 2 weeks to a month for a patient, costs about $300.</w:t>
      </w:r>
      <w:r w:rsidR="00415555">
        <w:t xml:space="preserve">  </w:t>
      </w:r>
      <w:r w:rsidR="00D63E8F">
        <w:t xml:space="preserve">Newer insulin biosimilars such as </w:t>
      </w:r>
      <w:proofErr w:type="spellStart"/>
      <w:r w:rsidR="00D63E8F">
        <w:t>Basaglar</w:t>
      </w:r>
      <w:proofErr w:type="spellEnd"/>
      <w:r w:rsidR="00D63E8F">
        <w:t xml:space="preserve"> </w:t>
      </w:r>
      <w:r w:rsidR="00ED3F39">
        <w:t>(~$</w:t>
      </w:r>
      <w:r w:rsidR="00A42156">
        <w:t>81/pen)</w:t>
      </w:r>
      <w:r w:rsidR="00C11677">
        <w:t xml:space="preserve"> </w:t>
      </w:r>
      <w:r w:rsidR="00D63E8F">
        <w:t xml:space="preserve">and </w:t>
      </w:r>
      <w:proofErr w:type="spellStart"/>
      <w:r w:rsidR="00D63E8F">
        <w:t>Toujeo</w:t>
      </w:r>
      <w:proofErr w:type="spellEnd"/>
      <w:r w:rsidR="00D63E8F">
        <w:t xml:space="preserve"> </w:t>
      </w:r>
      <w:r w:rsidR="00C11677">
        <w:t>(~</w:t>
      </w:r>
      <w:r w:rsidR="00DB395D">
        <w:t>$</w:t>
      </w:r>
      <w:r w:rsidR="00A42156">
        <w:t>160/pen)</w:t>
      </w:r>
      <w:r w:rsidR="00C11677">
        <w:t xml:space="preserve"> </w:t>
      </w:r>
      <w:r w:rsidR="00D63E8F">
        <w:t xml:space="preserve">are estimated to have private market discounts of </w:t>
      </w:r>
      <w:r w:rsidR="00D7256F">
        <w:t>60-75</w:t>
      </w:r>
      <w:r w:rsidR="00DB395D">
        <w:t>%</w:t>
      </w:r>
      <w:r w:rsidR="003D3F2F">
        <w:t xml:space="preserve"> which could</w:t>
      </w:r>
      <w:r w:rsidR="00391F90">
        <w:t xml:space="preserve"> be</w:t>
      </w:r>
      <w:r w:rsidR="003D3F2F">
        <w:t xml:space="preserve"> a starting point for PDAB consideration.</w:t>
      </w:r>
      <w:r w:rsidR="001D0C86">
        <w:t xml:space="preserve"> </w:t>
      </w:r>
      <w:proofErr w:type="gramStart"/>
      <w:r w:rsidR="001D0C86">
        <w:t>Lantus</w:t>
      </w:r>
      <w:r w:rsidR="008F0542">
        <w:t xml:space="preserve"> </w:t>
      </w:r>
      <w:r w:rsidR="001D0C86">
        <w:t xml:space="preserve"> </w:t>
      </w:r>
      <w:r w:rsidR="00FA4715">
        <w:t>and</w:t>
      </w:r>
      <w:proofErr w:type="gramEnd"/>
      <w:r w:rsidR="00FA4715">
        <w:t xml:space="preserve"> Leve</w:t>
      </w:r>
      <w:r w:rsidR="00CB253D">
        <w:t xml:space="preserve">mir </w:t>
      </w:r>
      <w:r w:rsidR="00A42156">
        <w:t>(</w:t>
      </w:r>
      <w:r w:rsidR="0076336E">
        <w:t>~$168/pen and ~$397/pen respectively</w:t>
      </w:r>
      <w:r w:rsidR="008F0542">
        <w:t>)</w:t>
      </w:r>
      <w:r w:rsidR="005E27F4">
        <w:t xml:space="preserve"> </w:t>
      </w:r>
      <w:r w:rsidR="00CB253D">
        <w:t xml:space="preserve">are in the market with estimated </w:t>
      </w:r>
      <w:r w:rsidR="007C11A0">
        <w:t xml:space="preserve">average </w:t>
      </w:r>
      <w:r w:rsidR="00CB253D">
        <w:t xml:space="preserve">discounts </w:t>
      </w:r>
      <w:r w:rsidR="008E1374">
        <w:t xml:space="preserve">of 70-75 percent.  </w:t>
      </w:r>
    </w:p>
    <w:p w14:paraId="770F2D2B" w14:textId="43736A3C" w:rsidR="007404FA" w:rsidRDefault="007404FA" w:rsidP="00C52E5C">
      <w:r w:rsidRPr="00703B16">
        <w:rPr>
          <w:i/>
          <w:iCs/>
        </w:rPr>
        <w:t>Multiple Sclerosis</w:t>
      </w:r>
      <w:r>
        <w:t xml:space="preserve">: </w:t>
      </w:r>
      <w:hyperlink r:id="rId19" w:anchor="1" w:history="1">
        <w:r w:rsidR="00677827" w:rsidRPr="00677827">
          <w:rPr>
            <w:rStyle w:val="Hyperlink"/>
          </w:rPr>
          <w:t>Healthline</w:t>
        </w:r>
      </w:hyperlink>
      <w:r w:rsidR="00677827">
        <w:t xml:space="preserve"> re</w:t>
      </w:r>
      <w:r w:rsidR="0095364B">
        <w:t xml:space="preserve">ported 2019 </w:t>
      </w:r>
      <w:r w:rsidR="007C1739" w:rsidRPr="007C1739">
        <w:rPr>
          <w:i/>
          <w:iCs/>
        </w:rPr>
        <w:t>monthly</w:t>
      </w:r>
      <w:r w:rsidR="007C1739">
        <w:t xml:space="preserve"> </w:t>
      </w:r>
      <w:r w:rsidR="0095364B">
        <w:t>treatment costs of</w:t>
      </w:r>
      <w:r w:rsidR="00677827">
        <w:t xml:space="preserve"> </w:t>
      </w:r>
      <w:proofErr w:type="spellStart"/>
      <w:r w:rsidR="0024364E">
        <w:t>Aubagio</w:t>
      </w:r>
      <w:proofErr w:type="spellEnd"/>
      <w:r w:rsidR="0024364E">
        <w:t xml:space="preserve"> </w:t>
      </w:r>
      <w:r w:rsidR="002E5AAF">
        <w:t>(</w:t>
      </w:r>
      <w:r w:rsidR="004C1451">
        <w:t>~</w:t>
      </w:r>
      <w:r w:rsidR="007A7D97">
        <w:t>$</w:t>
      </w:r>
      <w:r w:rsidR="007C1739">
        <w:t>4</w:t>
      </w:r>
      <w:r w:rsidR="007A7D97">
        <w:t>,76</w:t>
      </w:r>
      <w:r w:rsidR="00DF5598">
        <w:t>0</w:t>
      </w:r>
      <w:r w:rsidR="002E5AAF">
        <w:t xml:space="preserve">), </w:t>
      </w:r>
      <w:proofErr w:type="spellStart"/>
      <w:r w:rsidR="002E5AAF">
        <w:t>Gilenya</w:t>
      </w:r>
      <w:proofErr w:type="spellEnd"/>
      <w:r w:rsidR="002E5AAF">
        <w:t xml:space="preserve"> (~$5000/month)</w:t>
      </w:r>
      <w:r w:rsidR="00384E0F">
        <w:t xml:space="preserve"> and </w:t>
      </w:r>
      <w:r w:rsidR="009155F3">
        <w:t xml:space="preserve"> </w:t>
      </w:r>
      <w:r w:rsidR="00384E0F">
        <w:t>Rebif (~$5,200/month)</w:t>
      </w:r>
      <w:r w:rsidR="002459E6">
        <w:t xml:space="preserve">.  The estimated average commercial discount </w:t>
      </w:r>
      <w:r w:rsidR="00692A90">
        <w:t>is 8%, 22%, and 26% respectively,</w:t>
      </w:r>
      <w:r w:rsidR="009D361C">
        <w:t xml:space="preserve"> while the FSS and VA discounts are </w:t>
      </w:r>
      <w:r w:rsidR="00F822BE">
        <w:t xml:space="preserve">30% to 40% for </w:t>
      </w:r>
      <w:proofErr w:type="spellStart"/>
      <w:r w:rsidR="00F822BE">
        <w:t>Aubagio</w:t>
      </w:r>
      <w:proofErr w:type="spellEnd"/>
      <w:r w:rsidR="00F822BE">
        <w:t xml:space="preserve"> and </w:t>
      </w:r>
      <w:proofErr w:type="spellStart"/>
      <w:r w:rsidR="00F822BE">
        <w:t>Gilenya</w:t>
      </w:r>
      <w:proofErr w:type="spellEnd"/>
      <w:r w:rsidR="00F822BE">
        <w:t xml:space="preserve">, but 84% for </w:t>
      </w:r>
      <w:r w:rsidR="002454C5">
        <w:t>Rebif</w:t>
      </w:r>
      <w:r w:rsidR="00D47A3A">
        <w:t>.</w:t>
      </w:r>
      <w:r w:rsidR="0043616D">
        <w:t xml:space="preserve">  </w:t>
      </w:r>
      <w:r w:rsidR="009155F3">
        <w:t xml:space="preserve"> </w:t>
      </w:r>
      <w:r w:rsidR="0043616D">
        <w:t xml:space="preserve"> </w:t>
      </w:r>
    </w:p>
    <w:p w14:paraId="0611CFA4" w14:textId="57BF54BD" w:rsidR="008D1CB9" w:rsidRDefault="00222CDD" w:rsidP="00C52E5C">
      <w:r w:rsidRPr="00970DD2">
        <w:rPr>
          <w:i/>
          <w:iCs/>
        </w:rPr>
        <w:t>Oncology:</w:t>
      </w:r>
      <w:r>
        <w:t xml:space="preserve">  </w:t>
      </w:r>
      <w:proofErr w:type="spellStart"/>
      <w:r w:rsidR="00951DE4">
        <w:t>Ibrance</w:t>
      </w:r>
      <w:proofErr w:type="spellEnd"/>
      <w:r w:rsidR="00951DE4">
        <w:t xml:space="preserve"> </w:t>
      </w:r>
      <w:hyperlink r:id="rId20" w:history="1">
        <w:r w:rsidR="00951DE4" w:rsidRPr="00951DE4">
          <w:rPr>
            <w:rStyle w:val="Hyperlink"/>
          </w:rPr>
          <w:t>costs</w:t>
        </w:r>
      </w:hyperlink>
      <w:r w:rsidR="00951DE4">
        <w:t xml:space="preserve"> $13,000 for 21 capsules</w:t>
      </w:r>
      <w:r w:rsidR="002D5E37">
        <w:t xml:space="preserve"> and </w:t>
      </w:r>
      <w:proofErr w:type="spellStart"/>
      <w:r w:rsidR="002D5E37">
        <w:t>Imbruvic</w:t>
      </w:r>
      <w:proofErr w:type="spellEnd"/>
      <w:r w:rsidR="00C02FB6">
        <w:t xml:space="preserve"> </w:t>
      </w:r>
      <w:r w:rsidR="002D5E37">
        <w:t xml:space="preserve">a </w:t>
      </w:r>
      <w:hyperlink r:id="rId21" w:history="1">
        <w:r w:rsidR="002D5E37" w:rsidRPr="005308EA">
          <w:rPr>
            <w:rStyle w:val="Hyperlink"/>
          </w:rPr>
          <w:t>costs</w:t>
        </w:r>
      </w:hyperlink>
      <w:r w:rsidR="002D5E37">
        <w:t xml:space="preserve"> $13</w:t>
      </w:r>
      <w:r w:rsidR="006438A4">
        <w:t>,</w:t>
      </w:r>
      <w:r w:rsidR="00F9733D">
        <w:t>5</w:t>
      </w:r>
      <w:r w:rsidR="006438A4">
        <w:t>00 for 28 capsules</w:t>
      </w:r>
      <w:r w:rsidR="005308EA">
        <w:t>.</w:t>
      </w:r>
      <w:r w:rsidR="00C2778E">
        <w:t xml:space="preserve"> Average commercial discounts are estimated at </w:t>
      </w:r>
      <w:r w:rsidR="007604B2">
        <w:t xml:space="preserve">12% and 9% respectively while FSS discounts are the same or slightly better </w:t>
      </w:r>
      <w:r w:rsidR="00291C37">
        <w:t xml:space="preserve">and VA discounts are above 30%. </w:t>
      </w:r>
      <w:r w:rsidR="00CB230F">
        <w:t xml:space="preserve"> </w:t>
      </w:r>
      <w:r w:rsidR="00BA5425">
        <w:t>A newer drug, Perjeta</w:t>
      </w:r>
      <w:r w:rsidR="00BE408D">
        <w:t xml:space="preserve"> </w:t>
      </w:r>
      <w:r w:rsidR="008C7B80">
        <w:t xml:space="preserve">costs </w:t>
      </w:r>
      <w:r w:rsidR="007A6383">
        <w:t>about $9</w:t>
      </w:r>
      <w:r w:rsidR="006C203A">
        <w:t>3</w:t>
      </w:r>
      <w:r w:rsidR="007A6383">
        <w:t>,</w:t>
      </w:r>
      <w:r w:rsidR="006C203A">
        <w:t>5</w:t>
      </w:r>
      <w:r w:rsidR="007A6383">
        <w:t>00 per year</w:t>
      </w:r>
      <w:r w:rsidR="007A6383">
        <w:rPr>
          <w:rStyle w:val="FootnoteReference"/>
        </w:rPr>
        <w:footnoteReference w:id="3"/>
      </w:r>
      <w:r w:rsidR="006C203A">
        <w:t xml:space="preserve"> with an </w:t>
      </w:r>
      <w:r w:rsidR="00C83BD2">
        <w:t xml:space="preserve">estimated average commercial market payer discount/rebate of 10% </w:t>
      </w:r>
      <w:r w:rsidR="008467AA">
        <w:t xml:space="preserve">and </w:t>
      </w:r>
      <w:r w:rsidR="00E25B9E">
        <w:t xml:space="preserve">a </w:t>
      </w:r>
      <w:r w:rsidR="008467AA">
        <w:t xml:space="preserve">VA discount of 35%.  </w:t>
      </w:r>
    </w:p>
    <w:p w14:paraId="1C2E6896" w14:textId="086C40FE" w:rsidR="00236639" w:rsidRDefault="00DD3C67" w:rsidP="00C52E5C">
      <w:r>
        <w:t xml:space="preserve">In addition to knowing price and costs in the national market, a PDAB </w:t>
      </w:r>
      <w:r w:rsidR="008833F0">
        <w:t>c</w:t>
      </w:r>
      <w:r>
        <w:t xml:space="preserve">ould learn the net cost to </w:t>
      </w:r>
      <w:r w:rsidR="008C2162">
        <w:t xml:space="preserve">state </w:t>
      </w:r>
      <w:r>
        <w:t>payers</w:t>
      </w:r>
      <w:r w:rsidR="009C70D9">
        <w:t xml:space="preserve">, </w:t>
      </w:r>
      <w:r w:rsidR="001859E6">
        <w:t>purchasers,</w:t>
      </w:r>
      <w:r w:rsidR="009C70D9">
        <w:t xml:space="preserve"> and patients for a drug</w:t>
      </w:r>
      <w:r w:rsidR="008C2162">
        <w:t>.</w:t>
      </w:r>
      <w:r w:rsidR="009E2990">
        <w:t xml:space="preserve">  A PDAB may decide </w:t>
      </w:r>
      <w:r w:rsidR="00BA0FED">
        <w:t xml:space="preserve">to </w:t>
      </w:r>
      <w:r w:rsidR="004C17B5">
        <w:t>establish a UPL that provides a</w:t>
      </w:r>
      <w:r w:rsidR="009B756E">
        <w:t xml:space="preserve">n even </w:t>
      </w:r>
      <w:r w:rsidR="004C17B5">
        <w:t xml:space="preserve">lower cost </w:t>
      </w:r>
      <w:r w:rsidR="008833F0">
        <w:t>than</w:t>
      </w:r>
      <w:r w:rsidR="00D2102D">
        <w:t xml:space="preserve"> </w:t>
      </w:r>
      <w:r w:rsidR="00ED7976">
        <w:t>state</w:t>
      </w:r>
      <w:r w:rsidR="008833F0">
        <w:t xml:space="preserve"> payer net costs </w:t>
      </w:r>
      <w:r w:rsidR="004C17B5">
        <w:t xml:space="preserve">if that is what is </w:t>
      </w:r>
      <w:r w:rsidR="002C3A59">
        <w:t>needed</w:t>
      </w:r>
      <w:r w:rsidR="004C17B5">
        <w:t xml:space="preserve"> to make the drug affordable for everyone in the state.</w:t>
      </w:r>
      <w:r w:rsidR="00CC669A">
        <w:rPr>
          <w:rStyle w:val="FootnoteReference"/>
        </w:rPr>
        <w:footnoteReference w:id="4"/>
      </w:r>
      <w:r w:rsidR="004C17B5">
        <w:t xml:space="preserve"> </w:t>
      </w:r>
    </w:p>
    <w:p w14:paraId="457DD782" w14:textId="77777777" w:rsidR="005D25F0" w:rsidRDefault="008E1374" w:rsidP="00C52E5C">
      <w:r>
        <w:lastRenderedPageBreak/>
        <w:t xml:space="preserve">It is important to </w:t>
      </w:r>
      <w:r w:rsidR="001606DE">
        <w:t>understand</w:t>
      </w:r>
      <w:r>
        <w:t xml:space="preserve"> that if the </w:t>
      </w:r>
      <w:r w:rsidR="008C5834">
        <w:t xml:space="preserve">only action a PDAB takes is to convert the </w:t>
      </w:r>
      <w:r>
        <w:t>current average</w:t>
      </w:r>
      <w:r w:rsidR="002A22E7">
        <w:t xml:space="preserve"> </w:t>
      </w:r>
      <w:r w:rsidR="009B242D">
        <w:t xml:space="preserve">payer/manufacturer rebates to </w:t>
      </w:r>
      <w:proofErr w:type="gramStart"/>
      <w:r w:rsidR="009B242D">
        <w:t>publicly known</w:t>
      </w:r>
      <w:proofErr w:type="gramEnd"/>
      <w:r w:rsidR="00A72D27">
        <w:t xml:space="preserve">, publicly required </w:t>
      </w:r>
      <w:r w:rsidR="002A22E7">
        <w:t>discounts</w:t>
      </w:r>
      <w:r w:rsidR="00D95F4F">
        <w:t xml:space="preserve"> </w:t>
      </w:r>
      <w:r>
        <w:t xml:space="preserve">in the </w:t>
      </w:r>
      <w:r w:rsidR="00A72D27">
        <w:t xml:space="preserve">state supply chain, </w:t>
      </w:r>
      <w:r>
        <w:t>the entire</w:t>
      </w:r>
      <w:r w:rsidR="00E2091B">
        <w:t xml:space="preserve"> state</w:t>
      </w:r>
      <w:r>
        <w:t xml:space="preserve"> supply chain will benefit from those </w:t>
      </w:r>
      <w:r w:rsidR="002A22E7">
        <w:t>discounts</w:t>
      </w:r>
      <w:r w:rsidR="00727446">
        <w:t>. T</w:t>
      </w:r>
      <w:r w:rsidR="0007165B">
        <w:t xml:space="preserve">hose discounts will </w:t>
      </w:r>
      <w:r w:rsidR="00727446">
        <w:t xml:space="preserve">have to travel through the supply chain to </w:t>
      </w:r>
      <w:r w:rsidR="0007165B">
        <w:t>patients</w:t>
      </w:r>
      <w:r w:rsidR="00E2091B">
        <w:t xml:space="preserve"> at the point of service</w:t>
      </w:r>
      <w:proofErr w:type="gramStart"/>
      <w:r w:rsidR="00C55837">
        <w:t xml:space="preserve"> </w:t>
      </w:r>
      <w:r w:rsidR="00727446">
        <w:t xml:space="preserve"> </w:t>
      </w:r>
      <w:r w:rsidR="00DE31F8">
        <w:t xml:space="preserve"> (</w:t>
      </w:r>
      <w:proofErr w:type="gramEnd"/>
      <w:r w:rsidR="00DE31F8">
        <w:t xml:space="preserve">rebates to payers </w:t>
      </w:r>
      <w:r w:rsidR="00ED0B5D">
        <w:t xml:space="preserve">by their very nature </w:t>
      </w:r>
      <w:r w:rsidR="00DE31F8">
        <w:t>do not</w:t>
      </w:r>
      <w:r w:rsidR="00ED0B5D">
        <w:t>/cannot</w:t>
      </w:r>
      <w:r w:rsidR="00DE31F8">
        <w:t xml:space="preserve"> benefit the supply chain</w:t>
      </w:r>
      <w:r w:rsidR="00C55837">
        <w:t>)</w:t>
      </w:r>
      <w:r>
        <w:t xml:space="preserve">.  </w:t>
      </w:r>
      <w:r w:rsidR="00CC224C">
        <w:t>So even</w:t>
      </w:r>
      <w:r w:rsidR="001D0659">
        <w:t xml:space="preserve"> if</w:t>
      </w:r>
      <w:r w:rsidR="00CC224C">
        <w:t xml:space="preserve"> a PDAB did no more than take the estimated average discount in the market </w:t>
      </w:r>
      <w:r w:rsidR="00413AD8">
        <w:t xml:space="preserve">to create a </w:t>
      </w:r>
      <w:r w:rsidR="00CC224C">
        <w:t>statewid</w:t>
      </w:r>
      <w:r w:rsidR="00413AD8">
        <w:t>e UPL</w:t>
      </w:r>
      <w:r w:rsidR="00CC224C">
        <w:t>,</w:t>
      </w:r>
      <w:r w:rsidR="0047192D">
        <w:t xml:space="preserve"> </w:t>
      </w:r>
      <w:r w:rsidR="00D74A61">
        <w:t xml:space="preserve">large and small insurers </w:t>
      </w:r>
      <w:r w:rsidR="0047192D">
        <w:t xml:space="preserve">would </w:t>
      </w:r>
      <w:r w:rsidR="00D74A61">
        <w:t xml:space="preserve">obtain </w:t>
      </w:r>
      <w:r w:rsidR="00D74A61" w:rsidRPr="001D0659">
        <w:rPr>
          <w:i/>
          <w:iCs/>
        </w:rPr>
        <w:t>at least</w:t>
      </w:r>
      <w:r w:rsidR="00D74A61">
        <w:t xml:space="preserve"> the average discount</w:t>
      </w:r>
      <w:r w:rsidR="009C0715">
        <w:t xml:space="preserve">. </w:t>
      </w:r>
      <w:r w:rsidR="00DE06B3">
        <w:t xml:space="preserve">Payers who </w:t>
      </w:r>
      <w:r w:rsidR="0047192D">
        <w:t xml:space="preserve">negotiated </w:t>
      </w:r>
      <w:r w:rsidR="00DE06B3">
        <w:t xml:space="preserve">bigger rebates could certainly continue to </w:t>
      </w:r>
      <w:r w:rsidR="005D25F0">
        <w:t xml:space="preserve">lower their net costs. </w:t>
      </w:r>
      <w:r w:rsidR="00DE06B3">
        <w:t xml:space="preserve"> </w:t>
      </w:r>
      <w:r w:rsidR="00526F8C">
        <w:t xml:space="preserve"> </w:t>
      </w:r>
      <w:r w:rsidR="00DE06B3">
        <w:t xml:space="preserve"> </w:t>
      </w:r>
      <w:r w:rsidR="009C0715">
        <w:t xml:space="preserve"> </w:t>
      </w:r>
    </w:p>
    <w:p w14:paraId="43A56F2F" w14:textId="088D07D5" w:rsidR="003535A7" w:rsidRDefault="003535A7" w:rsidP="00C52E5C">
      <w:r>
        <w:t>The PDAB could decide that the upper payment should be the upper end of the average US market discount or something altogether different</w:t>
      </w:r>
      <w:r w:rsidR="00853ACB">
        <w:t xml:space="preserve"> if the current market activity still </w:t>
      </w:r>
      <w:r w:rsidR="00234300">
        <w:t xml:space="preserve">does </w:t>
      </w:r>
      <w:r w:rsidR="00AB2678">
        <w:t xml:space="preserve">not </w:t>
      </w:r>
      <w:r w:rsidR="00234300">
        <w:t xml:space="preserve">provide affordability.  </w:t>
      </w:r>
    </w:p>
    <w:p w14:paraId="7F1963C6" w14:textId="77777777" w:rsidR="00A43398" w:rsidRPr="00941FDF" w:rsidRDefault="006420F6" w:rsidP="00C52E5C">
      <w:pPr>
        <w:rPr>
          <w:i/>
          <w:iCs/>
          <w:sz w:val="28"/>
          <w:szCs w:val="28"/>
        </w:rPr>
      </w:pPr>
      <w:r w:rsidRPr="00941FDF">
        <w:rPr>
          <w:i/>
          <w:iCs/>
          <w:sz w:val="28"/>
          <w:szCs w:val="28"/>
        </w:rPr>
        <w:t xml:space="preserve">How </w:t>
      </w:r>
      <w:r w:rsidR="00B4541E" w:rsidRPr="00941FDF">
        <w:rPr>
          <w:i/>
          <w:iCs/>
          <w:sz w:val="28"/>
          <w:szCs w:val="28"/>
        </w:rPr>
        <w:t xml:space="preserve">is Drug Affordability Different from </w:t>
      </w:r>
      <w:r w:rsidR="00A43398" w:rsidRPr="00941FDF">
        <w:rPr>
          <w:i/>
          <w:iCs/>
          <w:sz w:val="28"/>
          <w:szCs w:val="28"/>
        </w:rPr>
        <w:t xml:space="preserve">Value Based Pricing? </w:t>
      </w:r>
    </w:p>
    <w:p w14:paraId="3B4018CC" w14:textId="77777777" w:rsidR="006317B7" w:rsidRDefault="005D25F0" w:rsidP="00C52E5C">
      <w:r>
        <w:t>A</w:t>
      </w:r>
      <w:r w:rsidR="00A43398">
        <w:t xml:space="preserve">ffordability starts with the idea that </w:t>
      </w:r>
      <w:r w:rsidR="002D762D">
        <w:t xml:space="preserve">at a certain cost, health plans can afford </w:t>
      </w:r>
      <w:r>
        <w:t>to provide</w:t>
      </w:r>
      <w:r w:rsidR="006317B7">
        <w:t xml:space="preserve"> ready access </w:t>
      </w:r>
      <w:r w:rsidR="002D762D">
        <w:t>to needed treatments</w:t>
      </w:r>
      <w:r w:rsidR="0069046B">
        <w:t xml:space="preserve">.  When drug costs put stress on the healthcare financing system, patients and consumers suffer with high out of pocket costs and </w:t>
      </w:r>
      <w:r w:rsidR="00B7243E">
        <w:t>lack of access</w:t>
      </w:r>
      <w:r w:rsidR="006317B7">
        <w:t xml:space="preserve"> and insurance premiums rise</w:t>
      </w:r>
      <w:r w:rsidR="00B7243E">
        <w:t xml:space="preserve">.  </w:t>
      </w:r>
    </w:p>
    <w:p w14:paraId="6235FD2B" w14:textId="3D3355B6" w:rsidR="006420F6" w:rsidRDefault="00B7243E" w:rsidP="00C52E5C">
      <w:r>
        <w:t xml:space="preserve">The drug industry wants us to see each drug as a separate financing issue when in fact, </w:t>
      </w:r>
      <w:r w:rsidR="00602437">
        <w:t xml:space="preserve">our </w:t>
      </w:r>
      <w:r w:rsidR="006070F5">
        <w:t xml:space="preserve">healthcare financing systems (health plans, government, </w:t>
      </w:r>
      <w:proofErr w:type="gramStart"/>
      <w:r w:rsidR="006070F5">
        <w:t>patients</w:t>
      </w:r>
      <w:proofErr w:type="gramEnd"/>
      <w:r w:rsidR="006070F5">
        <w:t xml:space="preserve"> and consumers) h</w:t>
      </w:r>
      <w:r w:rsidR="002553EA">
        <w:t>ave</w:t>
      </w:r>
      <w:r w:rsidR="006070F5">
        <w:t xml:space="preserve"> to pay for all drugs for all the people who need them. </w:t>
      </w:r>
      <w:r w:rsidR="00E60567">
        <w:t xml:space="preserve">The perfect example of this was Hepatitis C treatments </w:t>
      </w:r>
      <w:proofErr w:type="spellStart"/>
      <w:r w:rsidR="00E60567">
        <w:t>Sova</w:t>
      </w:r>
      <w:r w:rsidR="009A604D">
        <w:t>l</w:t>
      </w:r>
      <w:r w:rsidR="00E60567">
        <w:t>di</w:t>
      </w:r>
      <w:proofErr w:type="spellEnd"/>
      <w:r w:rsidR="00E60567">
        <w:t xml:space="preserve"> and Harvoni.  These drugs </w:t>
      </w:r>
      <w:r w:rsidR="009D1C26">
        <w:t xml:space="preserve">had a high cure rate for Hepatitis C – an epidemic at the time – at a cost of $100,000 per course of treatment.  </w:t>
      </w:r>
      <w:r w:rsidR="00106B2E">
        <w:t>Per patient cost</w:t>
      </w:r>
      <w:r w:rsidR="00EE0598">
        <w:t xml:space="preserve"> $100,000 treatment </w:t>
      </w:r>
      <w:r w:rsidR="00D3013B">
        <w:t xml:space="preserve">for </w:t>
      </w:r>
      <w:r w:rsidR="00EE0598">
        <w:t>a</w:t>
      </w:r>
      <w:r w:rsidR="00106B2E">
        <w:t xml:space="preserve"> widespread disease </w:t>
      </w:r>
      <w:r w:rsidR="00EE0598">
        <w:t>epidemic is a</w:t>
      </w:r>
      <w:r w:rsidR="00106B2E">
        <w:t>n obvious</w:t>
      </w:r>
      <w:r w:rsidR="00EE0598">
        <w:t xml:space="preserve"> problem from a financing point of view. </w:t>
      </w:r>
      <w:r w:rsidR="00D3013B">
        <w:t xml:space="preserve">Part of the reason we still have a Hep C epidemic is the high cost of treatments –even at their current, much-discounted cost.  Hep C treatment is important for </w:t>
      </w:r>
      <w:r w:rsidR="00D70CB6">
        <w:t>society, but</w:t>
      </w:r>
      <w:r w:rsidR="009E60FA">
        <w:t xml:space="preserve"> so are all the other drugs </w:t>
      </w:r>
      <w:r w:rsidR="0096400B">
        <w:t xml:space="preserve">we </w:t>
      </w:r>
      <w:r w:rsidR="00D70CB6">
        <w:t>must</w:t>
      </w:r>
      <w:r w:rsidR="00D24160">
        <w:t xml:space="preserve"> </w:t>
      </w:r>
      <w:r w:rsidR="0096400B">
        <w:t>finance for everyone.</w:t>
      </w:r>
      <w:r w:rsidR="00D24160">
        <w:t xml:space="preserve">  Premiums </w:t>
      </w:r>
      <w:r w:rsidR="00AE1CDE">
        <w:t>cannot</w:t>
      </w:r>
      <w:r w:rsidR="00D24160">
        <w:t xml:space="preserve"> go sky high and governments need to have resources to fund all the other </w:t>
      </w:r>
      <w:r w:rsidR="00837905">
        <w:t>important government services we expect.  That is affordability.</w:t>
      </w:r>
    </w:p>
    <w:p w14:paraId="2ACCDCEC" w14:textId="27875656" w:rsidR="00CF5F4A" w:rsidRDefault="00837905" w:rsidP="00C52E5C">
      <w:r>
        <w:t xml:space="preserve">Value, in contrast, attaches a monetary amount to a drug that represents all the different ways a drug helps an individual and even society.  </w:t>
      </w:r>
      <w:r w:rsidR="00E35E32">
        <w:t xml:space="preserve">Researchers with strong ties to the industry have recently suggested that it is appropriate to monetize </w:t>
      </w:r>
      <w:r w:rsidR="00D565A1">
        <w:t xml:space="preserve">the value of </w:t>
      </w:r>
      <w:r w:rsidR="00620574">
        <w:t xml:space="preserve">mitigating </w:t>
      </w:r>
      <w:r w:rsidR="001C6072">
        <w:t>fear or</w:t>
      </w:r>
      <w:r w:rsidR="00E41C09">
        <w:t xml:space="preserve"> monetize </w:t>
      </w:r>
      <w:r w:rsidR="00D565A1">
        <w:t>the value</w:t>
      </w:r>
      <w:r w:rsidR="00320970">
        <w:t xml:space="preserve"> of the treatment </w:t>
      </w:r>
      <w:r w:rsidR="003F4721">
        <w:t xml:space="preserve">relative to the severity of the </w:t>
      </w:r>
      <w:proofErr w:type="gramStart"/>
      <w:r w:rsidR="003F4721">
        <w:t xml:space="preserve">disease, </w:t>
      </w:r>
      <w:r w:rsidR="00953EEF">
        <w:t>or</w:t>
      </w:r>
      <w:proofErr w:type="gramEnd"/>
      <w:r w:rsidR="00953EEF">
        <w:t xml:space="preserve"> monetize </w:t>
      </w:r>
      <w:r w:rsidR="003F4721">
        <w:t xml:space="preserve">the value of hope </w:t>
      </w:r>
      <w:r w:rsidR="00953EEF">
        <w:t>a</w:t>
      </w:r>
      <w:r w:rsidR="003F4721">
        <w:t xml:space="preserve"> treatment bring</w:t>
      </w:r>
      <w:r w:rsidR="00B23FE8">
        <w:t xml:space="preserve">s </w:t>
      </w:r>
      <w:r w:rsidR="00953EEF">
        <w:t xml:space="preserve">to patients. </w:t>
      </w:r>
      <w:r w:rsidR="00B23FE8">
        <w:t xml:space="preserve"> In other words, the price of the product should reflect absolutely every individual and </w:t>
      </w:r>
      <w:r w:rsidR="005E72A6">
        <w:t xml:space="preserve">societal benefit. </w:t>
      </w:r>
      <w:r w:rsidR="008A2932">
        <w:t xml:space="preserve"> This pricing scheme will only create unaffordable </w:t>
      </w:r>
      <w:r w:rsidR="00731218">
        <w:t>treatments</w:t>
      </w:r>
      <w:r w:rsidR="005E72A6">
        <w:t>.</w:t>
      </w:r>
    </w:p>
    <w:p w14:paraId="51052756" w14:textId="1D794CC6" w:rsidR="00837905" w:rsidRDefault="00A80AB6" w:rsidP="00C52E5C">
      <w:r>
        <w:t>In fact, if these products are virtually priceless with respect to public health and well-being, then perhaps they should be regulated like public utilities whose actual value to society is almost inc</w:t>
      </w:r>
      <w:r w:rsidR="00AA1505">
        <w:t>alc</w:t>
      </w:r>
      <w:r>
        <w:t>ul</w:t>
      </w:r>
      <w:r w:rsidR="00AA1505">
        <w:t xml:space="preserve">able (clean water, telecommunications, electricity, </w:t>
      </w:r>
      <w:r w:rsidR="00CF5F4A">
        <w:t>public transportation)</w:t>
      </w:r>
      <w:r w:rsidR="00F13EC0">
        <w:t>. S</w:t>
      </w:r>
      <w:r w:rsidR="00662EF4">
        <w:t xml:space="preserve">tate entities determine what consumers will pay to balance </w:t>
      </w:r>
      <w:r w:rsidR="00B5610A">
        <w:t xml:space="preserve">consumer access and </w:t>
      </w:r>
      <w:r w:rsidR="007D2438">
        <w:t xml:space="preserve">service </w:t>
      </w:r>
      <w:r w:rsidR="00B5610A">
        <w:t xml:space="preserve">innovation in these vital </w:t>
      </w:r>
      <w:r w:rsidR="001F4545">
        <w:t>utilit</w:t>
      </w:r>
      <w:r w:rsidR="00FD7012">
        <w:t xml:space="preserve">ies </w:t>
      </w:r>
      <w:r w:rsidR="00B5610A">
        <w:t>and services</w:t>
      </w:r>
      <w:r w:rsidR="00CF5F4A">
        <w:t>.</w:t>
      </w:r>
    </w:p>
    <w:p w14:paraId="0492C534" w14:textId="73FE7F69" w:rsidR="009B68C5" w:rsidRPr="007C517E" w:rsidRDefault="009B68C5" w:rsidP="001A2AEC">
      <w:pPr>
        <w:spacing w:after="0"/>
        <w:rPr>
          <w:rFonts w:eastAsia="Times New Roman" w:cstheme="minorHAnsi"/>
          <w:i/>
          <w:iCs/>
          <w:sz w:val="28"/>
          <w:szCs w:val="28"/>
        </w:rPr>
      </w:pPr>
      <w:r w:rsidRPr="007C517E">
        <w:rPr>
          <w:rFonts w:eastAsia="Times New Roman" w:cstheme="minorHAnsi"/>
          <w:i/>
          <w:iCs/>
          <w:sz w:val="28"/>
          <w:szCs w:val="28"/>
        </w:rPr>
        <w:t xml:space="preserve">Why Establish a Statewide Upper Payment Limit </w:t>
      </w:r>
      <w:r w:rsidR="0021171D" w:rsidRPr="007C517E">
        <w:rPr>
          <w:rFonts w:eastAsia="Times New Roman" w:cstheme="minorHAnsi"/>
          <w:i/>
          <w:iCs/>
          <w:sz w:val="28"/>
          <w:szCs w:val="28"/>
        </w:rPr>
        <w:t>Rather Than a Direct Price Control?</w:t>
      </w:r>
    </w:p>
    <w:p w14:paraId="06DF2086" w14:textId="3C151986" w:rsidR="00621CF5" w:rsidRDefault="0021171D" w:rsidP="001A2AEC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A direct price control on a manufacturer </w:t>
      </w:r>
      <w:r w:rsidR="00DA0AAC">
        <w:rPr>
          <w:rFonts w:eastAsia="Times New Roman" w:cstheme="minorHAnsi"/>
          <w:szCs w:val="24"/>
        </w:rPr>
        <w:t>will be hard, if not impossible</w:t>
      </w:r>
      <w:r w:rsidR="00CD5013">
        <w:rPr>
          <w:rFonts w:eastAsia="Times New Roman" w:cstheme="minorHAnsi"/>
          <w:szCs w:val="24"/>
        </w:rPr>
        <w:t>,</w:t>
      </w:r>
      <w:r w:rsidR="00DA0AAC">
        <w:rPr>
          <w:rFonts w:eastAsia="Times New Roman" w:cstheme="minorHAnsi"/>
          <w:szCs w:val="24"/>
        </w:rPr>
        <w:t xml:space="preserve"> to enforce.  Manufacturers set the factory price and then negotiate discounts with </w:t>
      </w:r>
      <w:r w:rsidR="004D028A">
        <w:rPr>
          <w:rFonts w:eastAsia="Times New Roman" w:cstheme="minorHAnsi"/>
          <w:szCs w:val="24"/>
        </w:rPr>
        <w:t>large</w:t>
      </w:r>
      <w:r w:rsidR="00DA0AAC">
        <w:rPr>
          <w:rFonts w:eastAsia="Times New Roman" w:cstheme="minorHAnsi"/>
          <w:szCs w:val="24"/>
        </w:rPr>
        <w:t xml:space="preserve"> </w:t>
      </w:r>
      <w:r w:rsidR="004D028A">
        <w:rPr>
          <w:rFonts w:eastAsia="Times New Roman" w:cstheme="minorHAnsi"/>
          <w:szCs w:val="24"/>
        </w:rPr>
        <w:t xml:space="preserve">direct </w:t>
      </w:r>
      <w:r w:rsidR="00DA0AAC">
        <w:rPr>
          <w:rFonts w:eastAsia="Times New Roman" w:cstheme="minorHAnsi"/>
          <w:szCs w:val="24"/>
        </w:rPr>
        <w:t>purchasers</w:t>
      </w:r>
      <w:r w:rsidR="008504F2">
        <w:rPr>
          <w:rFonts w:eastAsia="Times New Roman" w:cstheme="minorHAnsi"/>
          <w:szCs w:val="24"/>
        </w:rPr>
        <w:t xml:space="preserve">, like wholesalers.  Wholesalers in turn negotiate price concessions with the people and entities they supply with </w:t>
      </w:r>
      <w:r w:rsidR="00C57C0D">
        <w:rPr>
          <w:rFonts w:eastAsia="Times New Roman" w:cstheme="minorHAnsi"/>
          <w:szCs w:val="24"/>
        </w:rPr>
        <w:t xml:space="preserve">the </w:t>
      </w:r>
      <w:r w:rsidR="008504F2">
        <w:rPr>
          <w:rFonts w:eastAsia="Times New Roman" w:cstheme="minorHAnsi"/>
          <w:szCs w:val="24"/>
        </w:rPr>
        <w:t xml:space="preserve">drugs they purchased from a manufacturer.  </w:t>
      </w:r>
      <w:r w:rsidR="00DD42E4">
        <w:rPr>
          <w:rFonts w:eastAsia="Times New Roman" w:cstheme="minorHAnsi"/>
          <w:szCs w:val="24"/>
        </w:rPr>
        <w:t>Pharmacies or doctors</w:t>
      </w:r>
      <w:r w:rsidR="009303A3">
        <w:rPr>
          <w:rFonts w:eastAsia="Times New Roman" w:cstheme="minorHAnsi"/>
          <w:szCs w:val="24"/>
        </w:rPr>
        <w:t>’</w:t>
      </w:r>
      <w:r w:rsidR="00DD42E4">
        <w:rPr>
          <w:rFonts w:eastAsia="Times New Roman" w:cstheme="minorHAnsi"/>
          <w:szCs w:val="24"/>
        </w:rPr>
        <w:t xml:space="preserve"> offices</w:t>
      </w:r>
      <w:r w:rsidR="00E45676">
        <w:rPr>
          <w:rFonts w:eastAsia="Times New Roman" w:cstheme="minorHAnsi"/>
          <w:szCs w:val="24"/>
        </w:rPr>
        <w:t xml:space="preserve"> </w:t>
      </w:r>
      <w:r w:rsidR="00115F43">
        <w:rPr>
          <w:rFonts w:eastAsia="Times New Roman" w:cstheme="minorHAnsi"/>
          <w:szCs w:val="24"/>
        </w:rPr>
        <w:t xml:space="preserve">determine what they will </w:t>
      </w:r>
      <w:r w:rsidR="00483E13">
        <w:rPr>
          <w:rFonts w:eastAsia="Times New Roman" w:cstheme="minorHAnsi"/>
          <w:szCs w:val="24"/>
        </w:rPr>
        <w:t>charge</w:t>
      </w:r>
      <w:r w:rsidR="00115F43">
        <w:rPr>
          <w:rFonts w:eastAsia="Times New Roman" w:cstheme="minorHAnsi"/>
          <w:szCs w:val="24"/>
        </w:rPr>
        <w:t xml:space="preserve"> the patient and </w:t>
      </w:r>
      <w:r w:rsidR="00483E13">
        <w:rPr>
          <w:rFonts w:eastAsia="Times New Roman" w:cstheme="minorHAnsi"/>
          <w:szCs w:val="24"/>
        </w:rPr>
        <w:t xml:space="preserve">bill </w:t>
      </w:r>
      <w:r w:rsidR="00115F43">
        <w:rPr>
          <w:rFonts w:eastAsia="Times New Roman" w:cstheme="minorHAnsi"/>
          <w:szCs w:val="24"/>
        </w:rPr>
        <w:t xml:space="preserve">the insurer for the drug. The manufacturer is </w:t>
      </w:r>
      <w:r w:rsidR="00DB41C6">
        <w:rPr>
          <w:rFonts w:eastAsia="Times New Roman" w:cstheme="minorHAnsi"/>
          <w:szCs w:val="24"/>
        </w:rPr>
        <w:t xml:space="preserve">not involved in </w:t>
      </w:r>
      <w:r w:rsidR="00115F43">
        <w:rPr>
          <w:rFonts w:eastAsia="Times New Roman" w:cstheme="minorHAnsi"/>
          <w:szCs w:val="24"/>
        </w:rPr>
        <w:t>that</w:t>
      </w:r>
      <w:r w:rsidR="00DD42E4">
        <w:rPr>
          <w:rFonts w:eastAsia="Times New Roman" w:cstheme="minorHAnsi"/>
          <w:szCs w:val="24"/>
        </w:rPr>
        <w:t xml:space="preserve"> final</w:t>
      </w:r>
      <w:r w:rsidR="00115F43">
        <w:rPr>
          <w:rFonts w:eastAsia="Times New Roman" w:cstheme="minorHAnsi"/>
          <w:szCs w:val="24"/>
        </w:rPr>
        <w:t xml:space="preserve"> </w:t>
      </w:r>
      <w:r w:rsidR="00DD42E4">
        <w:rPr>
          <w:rFonts w:eastAsia="Times New Roman" w:cstheme="minorHAnsi"/>
          <w:szCs w:val="24"/>
        </w:rPr>
        <w:t xml:space="preserve">transaction </w:t>
      </w:r>
      <w:r w:rsidR="00115F43">
        <w:rPr>
          <w:rFonts w:eastAsia="Times New Roman" w:cstheme="minorHAnsi"/>
          <w:szCs w:val="24"/>
        </w:rPr>
        <w:t xml:space="preserve">and should not be held accountable </w:t>
      </w:r>
      <w:r w:rsidR="00C70E51">
        <w:rPr>
          <w:rFonts w:eastAsia="Times New Roman" w:cstheme="minorHAnsi"/>
          <w:szCs w:val="24"/>
        </w:rPr>
        <w:t>by a state for the charges and payments of that transaction</w:t>
      </w:r>
      <w:r w:rsidR="00CD5013">
        <w:rPr>
          <w:rFonts w:eastAsia="Times New Roman" w:cstheme="minorHAnsi"/>
          <w:szCs w:val="24"/>
        </w:rPr>
        <w:t>.</w:t>
      </w:r>
      <w:r w:rsidR="00621CF5">
        <w:rPr>
          <w:rFonts w:eastAsia="Times New Roman" w:cstheme="minorHAnsi"/>
          <w:szCs w:val="24"/>
        </w:rPr>
        <w:t xml:space="preserve">  </w:t>
      </w:r>
    </w:p>
    <w:p w14:paraId="0859A076" w14:textId="716D7EE5" w:rsidR="00621CF5" w:rsidRDefault="00621CF5" w:rsidP="001A2AEC">
      <w:pPr>
        <w:spacing w:after="0"/>
        <w:rPr>
          <w:rFonts w:eastAsia="Times New Roman" w:cstheme="minorHAnsi"/>
          <w:szCs w:val="24"/>
        </w:rPr>
      </w:pPr>
    </w:p>
    <w:p w14:paraId="10AA0198" w14:textId="465013D7" w:rsidR="00621CF5" w:rsidRDefault="00621CF5" w:rsidP="001A2AEC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A statewide upper payment limit, in contrast, uses the everyday operations of the </w:t>
      </w:r>
      <w:r w:rsidR="002174AF">
        <w:rPr>
          <w:rFonts w:eastAsia="Times New Roman" w:cstheme="minorHAnsi"/>
          <w:szCs w:val="24"/>
        </w:rPr>
        <w:t>supply chain</w:t>
      </w:r>
      <w:r w:rsidR="00105997">
        <w:rPr>
          <w:rFonts w:eastAsia="Times New Roman" w:cstheme="minorHAnsi"/>
          <w:szCs w:val="24"/>
        </w:rPr>
        <w:t>, pharmacies, providers, and insurers</w:t>
      </w:r>
      <w:r w:rsidR="002174AF">
        <w:rPr>
          <w:rFonts w:eastAsia="Times New Roman" w:cstheme="minorHAnsi"/>
          <w:szCs w:val="24"/>
        </w:rPr>
        <w:t xml:space="preserve">.  Negotiations between sellers and buyers </w:t>
      </w:r>
      <w:r w:rsidR="00A34F58">
        <w:rPr>
          <w:rFonts w:eastAsia="Times New Roman" w:cstheme="minorHAnsi"/>
          <w:szCs w:val="24"/>
        </w:rPr>
        <w:t>will</w:t>
      </w:r>
      <w:r w:rsidR="002174AF">
        <w:rPr>
          <w:rFonts w:eastAsia="Times New Roman" w:cstheme="minorHAnsi"/>
          <w:szCs w:val="24"/>
        </w:rPr>
        <w:t xml:space="preserve"> meet the obligations of </w:t>
      </w:r>
      <w:r w:rsidR="00392606">
        <w:rPr>
          <w:rFonts w:eastAsia="Times New Roman" w:cstheme="minorHAnsi"/>
          <w:szCs w:val="24"/>
        </w:rPr>
        <w:t>state-licensed healthcare entities to pay and bill no more than the upper payment limit</w:t>
      </w:r>
      <w:r w:rsidR="00F81297">
        <w:rPr>
          <w:rFonts w:eastAsia="Times New Roman" w:cstheme="minorHAnsi"/>
          <w:szCs w:val="24"/>
        </w:rPr>
        <w:t>.  The</w:t>
      </w:r>
      <w:r w:rsidR="000400EF">
        <w:rPr>
          <w:rFonts w:eastAsia="Times New Roman" w:cstheme="minorHAnsi"/>
          <w:szCs w:val="24"/>
        </w:rPr>
        <w:t xml:space="preserve">se UPL-related negotiations </w:t>
      </w:r>
      <w:r w:rsidR="00DF14B9">
        <w:rPr>
          <w:rFonts w:eastAsia="Times New Roman" w:cstheme="minorHAnsi"/>
          <w:szCs w:val="24"/>
        </w:rPr>
        <w:t xml:space="preserve">will be </w:t>
      </w:r>
      <w:r w:rsidR="000400EF">
        <w:rPr>
          <w:rFonts w:eastAsia="Times New Roman" w:cstheme="minorHAnsi"/>
          <w:szCs w:val="24"/>
        </w:rPr>
        <w:t>a</w:t>
      </w:r>
      <w:r w:rsidR="00F81297">
        <w:rPr>
          <w:rFonts w:eastAsia="Times New Roman" w:cstheme="minorHAnsi"/>
          <w:szCs w:val="24"/>
        </w:rPr>
        <w:t xml:space="preserve"> subset of all the discount negotiations going on around the country every day</w:t>
      </w:r>
      <w:r w:rsidR="00DF14B9">
        <w:rPr>
          <w:rFonts w:eastAsia="Times New Roman" w:cstheme="minorHAnsi"/>
          <w:szCs w:val="24"/>
        </w:rPr>
        <w:t>.</w:t>
      </w:r>
    </w:p>
    <w:p w14:paraId="626854B5" w14:textId="77777777" w:rsidR="00CD5013" w:rsidRDefault="00CD5013" w:rsidP="001A2AEC">
      <w:pPr>
        <w:spacing w:after="0"/>
        <w:rPr>
          <w:rFonts w:eastAsia="Times New Roman" w:cstheme="minorHAnsi"/>
          <w:szCs w:val="24"/>
        </w:rPr>
      </w:pPr>
    </w:p>
    <w:p w14:paraId="056ADCA7" w14:textId="5693FFDE" w:rsidR="0021171D" w:rsidRPr="00BF5B11" w:rsidRDefault="00DA167D" w:rsidP="001A2AEC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>These negotiations between manufacturers, large purchasers such as wholesalers and large end user</w:t>
      </w:r>
      <w:r w:rsidR="00667298">
        <w:rPr>
          <w:rFonts w:eastAsia="Times New Roman" w:cstheme="minorHAnsi"/>
          <w:szCs w:val="24"/>
        </w:rPr>
        <w:t xml:space="preserve"> purchasers like hospitals happen </w:t>
      </w:r>
      <w:r w:rsidR="002C3A59">
        <w:rPr>
          <w:rFonts w:eastAsia="Times New Roman" w:cstheme="minorHAnsi"/>
          <w:szCs w:val="24"/>
        </w:rPr>
        <w:t>repeatedly</w:t>
      </w:r>
      <w:r w:rsidR="00667298">
        <w:rPr>
          <w:rFonts w:eastAsia="Times New Roman" w:cstheme="minorHAnsi"/>
          <w:szCs w:val="24"/>
        </w:rPr>
        <w:t xml:space="preserve"> for all sorts of drugs for all manufacturers</w:t>
      </w:r>
      <w:r w:rsidR="00105997">
        <w:rPr>
          <w:rFonts w:eastAsia="Times New Roman" w:cstheme="minorHAnsi"/>
          <w:szCs w:val="24"/>
        </w:rPr>
        <w:t xml:space="preserve"> </w:t>
      </w:r>
      <w:proofErr w:type="spellStart"/>
      <w:r w:rsidR="00105997">
        <w:rPr>
          <w:rFonts w:eastAsia="Times New Roman" w:cstheme="minorHAnsi"/>
          <w:szCs w:val="24"/>
        </w:rPr>
        <w:t>everyday</w:t>
      </w:r>
      <w:proofErr w:type="spellEnd"/>
      <w:r w:rsidR="00A31495">
        <w:rPr>
          <w:rFonts w:eastAsia="Times New Roman" w:cstheme="minorHAnsi"/>
          <w:szCs w:val="24"/>
        </w:rPr>
        <w:t>. The UPL uses the</w:t>
      </w:r>
      <w:r w:rsidR="00115F43">
        <w:rPr>
          <w:rFonts w:eastAsia="Times New Roman" w:cstheme="minorHAnsi"/>
          <w:szCs w:val="24"/>
        </w:rPr>
        <w:t xml:space="preserve"> </w:t>
      </w:r>
      <w:r w:rsidR="00A31495">
        <w:rPr>
          <w:rFonts w:eastAsia="Times New Roman" w:cstheme="minorHAnsi"/>
          <w:szCs w:val="24"/>
        </w:rPr>
        <w:t>industry business model of</w:t>
      </w:r>
      <w:r w:rsidR="008C0E3B">
        <w:rPr>
          <w:rFonts w:eastAsia="Times New Roman" w:cstheme="minorHAnsi"/>
          <w:szCs w:val="24"/>
        </w:rPr>
        <w:t xml:space="preserve"> negotiated price concessions</w:t>
      </w:r>
      <w:r w:rsidR="00DF14B9">
        <w:rPr>
          <w:rFonts w:eastAsia="Times New Roman" w:cstheme="minorHAnsi"/>
          <w:szCs w:val="24"/>
        </w:rPr>
        <w:t xml:space="preserve"> for drugs intended for sale in the PDAB’s state.</w:t>
      </w:r>
      <w:r w:rsidR="008C0E3B">
        <w:rPr>
          <w:rFonts w:eastAsia="Times New Roman" w:cstheme="minorHAnsi"/>
          <w:szCs w:val="24"/>
        </w:rPr>
        <w:t xml:space="preserve"> </w:t>
      </w:r>
    </w:p>
    <w:p w14:paraId="42C350D9" w14:textId="2320077A" w:rsidR="00555752" w:rsidRDefault="00555752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br w:type="page"/>
      </w:r>
    </w:p>
    <w:p w14:paraId="623F85FB" w14:textId="274B40D0" w:rsidR="00115737" w:rsidRDefault="00115737" w:rsidP="009E0A6D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Appendix</w:t>
      </w:r>
    </w:p>
    <w:p w14:paraId="624581EB" w14:textId="50C9A158" w:rsidR="00555752" w:rsidRPr="00555752" w:rsidRDefault="00555752" w:rsidP="00555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557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The Most Expensive Drugs, Period </w:t>
      </w:r>
    </w:p>
    <w:p w14:paraId="1F95EEBD" w14:textId="3E195FA6" w:rsidR="00555752" w:rsidRPr="00555752" w:rsidRDefault="00555752" w:rsidP="00555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2">
        <w:rPr>
          <w:rFonts w:ascii="Times New Roman" w:eastAsia="Times New Roman" w:hAnsi="Times New Roman" w:cs="Times New Roman"/>
          <w:sz w:val="24"/>
          <w:szCs w:val="24"/>
        </w:rPr>
        <w:t>August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GoodRx</w:t>
      </w:r>
      <w:proofErr w:type="spellEnd"/>
      <w:r w:rsidR="00C50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="00C50EA2" w:rsidRPr="00E225FE">
          <w:rPr>
            <w:rStyle w:val="Hyperlink"/>
          </w:rPr>
          <w:t>https://www.goodrx.com/blog/most-expensive-drugs-period/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323"/>
        <w:gridCol w:w="2863"/>
        <w:gridCol w:w="3843"/>
      </w:tblGrid>
      <w:tr w:rsidR="00915FC9" w:rsidRPr="00555752" w14:paraId="4F98F957" w14:textId="77777777" w:rsidTr="00555752">
        <w:trPr>
          <w:tblHeader/>
          <w:tblCellSpacing w:w="0" w:type="dxa"/>
        </w:trPr>
        <w:tc>
          <w:tcPr>
            <w:tcW w:w="0" w:type="auto"/>
            <w:tcBorders>
              <w:bottom w:val="single" w:sz="12" w:space="0" w:color="333333"/>
            </w:tcBorders>
            <w:vAlign w:val="center"/>
            <w:hideMark/>
          </w:tcPr>
          <w:p w14:paraId="55F47E62" w14:textId="77777777" w:rsidR="00555752" w:rsidRPr="00555752" w:rsidRDefault="00555752" w:rsidP="0055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Rank </w:t>
            </w:r>
          </w:p>
        </w:tc>
        <w:tc>
          <w:tcPr>
            <w:tcW w:w="0" w:type="auto"/>
            <w:tcBorders>
              <w:bottom w:val="single" w:sz="12" w:space="0" w:color="333333"/>
            </w:tcBorders>
            <w:vAlign w:val="center"/>
            <w:hideMark/>
          </w:tcPr>
          <w:p w14:paraId="1FA15882" w14:textId="77777777" w:rsidR="00555752" w:rsidRPr="00555752" w:rsidRDefault="00555752" w:rsidP="0055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Drug Name </w:t>
            </w:r>
          </w:p>
        </w:tc>
        <w:tc>
          <w:tcPr>
            <w:tcW w:w="0" w:type="auto"/>
            <w:tcBorders>
              <w:bottom w:val="single" w:sz="12" w:space="0" w:color="333333"/>
            </w:tcBorders>
            <w:vAlign w:val="center"/>
            <w:hideMark/>
          </w:tcPr>
          <w:p w14:paraId="0BCD4414" w14:textId="77777777" w:rsidR="00555752" w:rsidRPr="00555752" w:rsidRDefault="00555752" w:rsidP="0055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Manufacturer </w:t>
            </w:r>
          </w:p>
        </w:tc>
        <w:tc>
          <w:tcPr>
            <w:tcW w:w="0" w:type="auto"/>
            <w:tcBorders>
              <w:bottom w:val="single" w:sz="12" w:space="0" w:color="333333"/>
            </w:tcBorders>
            <w:vAlign w:val="center"/>
            <w:hideMark/>
          </w:tcPr>
          <w:p w14:paraId="6E865B16" w14:textId="77777777" w:rsidR="00915FC9" w:rsidRDefault="00555752" w:rsidP="0055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Annual</w:t>
            </w:r>
          </w:p>
          <w:p w14:paraId="5CB9665E" w14:textId="3FBB2934" w:rsidR="00555752" w:rsidRPr="00555752" w:rsidRDefault="00555752" w:rsidP="0055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97441"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ost</w:t>
            </w:r>
            <w:r w:rsidR="00A974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1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course of treatment</w:t>
            </w:r>
            <w:r w:rsidRPr="0055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15FC9" w:rsidRPr="00555752" w14:paraId="3EB6B007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A26C9A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2D1C4D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Zolgensma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A36CF8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AveXis</w:t>
            </w:r>
            <w:proofErr w:type="spellEnd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, Inc</w:t>
            </w:r>
          </w:p>
        </w:tc>
        <w:tc>
          <w:tcPr>
            <w:tcW w:w="0" w:type="auto"/>
            <w:vAlign w:val="center"/>
            <w:hideMark/>
          </w:tcPr>
          <w:p w14:paraId="05984C60" w14:textId="2061E3E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$2,125,000</w:t>
            </w:r>
            <w:r w:rsidR="009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82D" w:rsidRPr="00970D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spinal muscular atrop</w:t>
            </w:r>
            <w:r w:rsidR="000B48DB" w:rsidRPr="00970D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3E082D" w:rsidRPr="00970D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</w:tr>
      <w:tr w:rsidR="00915FC9" w:rsidRPr="00555752" w14:paraId="68009C2D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8BDC61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9234ED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Myalept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055113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Amryt</w:t>
            </w:r>
            <w:proofErr w:type="spellEnd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Pharma</w:t>
            </w:r>
          </w:p>
        </w:tc>
        <w:tc>
          <w:tcPr>
            <w:tcW w:w="0" w:type="auto"/>
            <w:vAlign w:val="center"/>
            <w:hideMark/>
          </w:tcPr>
          <w:p w14:paraId="70041759" w14:textId="7AEEA6D4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$855,678</w:t>
            </w:r>
            <w:r w:rsidR="0097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D17" w:rsidRPr="00970D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lipodystrophy</w:t>
            </w:r>
          </w:p>
        </w:tc>
      </w:tr>
      <w:tr w:rsidR="00915FC9" w:rsidRPr="00555752" w14:paraId="6C74F305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46B72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4AF357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Luxturna</w:t>
            </w:r>
          </w:p>
        </w:tc>
        <w:tc>
          <w:tcPr>
            <w:tcW w:w="0" w:type="auto"/>
            <w:vAlign w:val="center"/>
            <w:hideMark/>
          </w:tcPr>
          <w:p w14:paraId="5966456B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Spark Therapeutics</w:t>
            </w:r>
          </w:p>
        </w:tc>
        <w:tc>
          <w:tcPr>
            <w:tcW w:w="0" w:type="auto"/>
            <w:vAlign w:val="center"/>
            <w:hideMark/>
          </w:tcPr>
          <w:p w14:paraId="4381FA87" w14:textId="09175FDA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$850,000</w:t>
            </w:r>
            <w:r w:rsidR="00DA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98E" w:rsidRPr="00DA0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retinal dystrophy</w:t>
            </w:r>
          </w:p>
        </w:tc>
      </w:tr>
      <w:tr w:rsidR="00915FC9" w:rsidRPr="00555752" w14:paraId="3F760313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BE8D2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3FB09B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Folotyn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670EDD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Acrotech</w:t>
            </w:r>
            <w:proofErr w:type="spellEnd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Biopharma</w:t>
            </w:r>
          </w:p>
        </w:tc>
        <w:tc>
          <w:tcPr>
            <w:tcW w:w="0" w:type="auto"/>
            <w:vAlign w:val="center"/>
            <w:hideMark/>
          </w:tcPr>
          <w:p w14:paraId="63B204FB" w14:textId="2E319C1D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$793,870</w:t>
            </w:r>
            <w:r w:rsidR="00F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3B5" w:rsidRPr="00FF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T-cell lymphoma</w:t>
            </w:r>
          </w:p>
        </w:tc>
      </w:tr>
      <w:tr w:rsidR="00915FC9" w:rsidRPr="00555752" w14:paraId="426FB666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0CD57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B2497C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Brineura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BA13CE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BioMarin Pharmaceuticals</w:t>
            </w:r>
          </w:p>
        </w:tc>
        <w:tc>
          <w:tcPr>
            <w:tcW w:w="0" w:type="auto"/>
            <w:vAlign w:val="center"/>
            <w:hideMark/>
          </w:tcPr>
          <w:p w14:paraId="2496A61F" w14:textId="743D312E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$716,040</w:t>
            </w:r>
            <w:r w:rsidR="00C9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2C8" w:rsidRPr="00C912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Batten disease</w:t>
            </w:r>
          </w:p>
        </w:tc>
      </w:tr>
      <w:tr w:rsidR="00915FC9" w:rsidRPr="00555752" w14:paraId="4A1EBD6C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5374D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17736C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Soliris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B39FAB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Alexion Pharmaceuticals, Inc</w:t>
            </w:r>
          </w:p>
        </w:tc>
        <w:tc>
          <w:tcPr>
            <w:tcW w:w="0" w:type="auto"/>
            <w:vAlign w:val="center"/>
            <w:hideMark/>
          </w:tcPr>
          <w:p w14:paraId="21014E1F" w14:textId="4A013BD6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$678,392</w:t>
            </w:r>
            <w:r w:rsidR="00861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258" w:rsidRPr="00057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blood disorders</w:t>
            </w:r>
          </w:p>
        </w:tc>
      </w:tr>
      <w:tr w:rsidR="00915FC9" w:rsidRPr="00555752" w14:paraId="33D7BFA4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5C0FD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D95AD7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Blincyto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7EB509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Amgen, Inc</w:t>
            </w:r>
          </w:p>
        </w:tc>
        <w:tc>
          <w:tcPr>
            <w:tcW w:w="0" w:type="auto"/>
            <w:vAlign w:val="center"/>
            <w:hideMark/>
          </w:tcPr>
          <w:p w14:paraId="7CF3E651" w14:textId="71C97E53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$672,968</w:t>
            </w:r>
            <w:r w:rsidR="00772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579" w:rsidRPr="00772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acute lymphoblastic leukemia</w:t>
            </w:r>
          </w:p>
        </w:tc>
      </w:tr>
      <w:tr w:rsidR="00915FC9" w:rsidRPr="00555752" w14:paraId="2B6D1C15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FC71F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E6FA95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Ravicti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7E599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Horizon Therapeutics</w:t>
            </w:r>
          </w:p>
        </w:tc>
        <w:tc>
          <w:tcPr>
            <w:tcW w:w="0" w:type="auto"/>
            <w:vAlign w:val="center"/>
            <w:hideMark/>
          </w:tcPr>
          <w:p w14:paraId="369FCC4B" w14:textId="334AAED4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$664,092</w:t>
            </w:r>
            <w:r w:rsidR="0094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31A" w:rsidRPr="00944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urea cycle disorders</w:t>
            </w:r>
          </w:p>
        </w:tc>
      </w:tr>
      <w:tr w:rsidR="00915FC9" w:rsidRPr="00555752" w14:paraId="3F4A2C18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B2C5F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41EAB6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Lumizyme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D63CC8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Sanofi Genzyme</w:t>
            </w:r>
          </w:p>
        </w:tc>
        <w:tc>
          <w:tcPr>
            <w:tcW w:w="0" w:type="auto"/>
            <w:vAlign w:val="center"/>
            <w:hideMark/>
          </w:tcPr>
          <w:p w14:paraId="0EE69761" w14:textId="7F83BEA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$643,243</w:t>
            </w:r>
            <w:r w:rsidR="00C1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083" w:rsidRPr="00C1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Pompe</w:t>
            </w:r>
            <w:proofErr w:type="spellEnd"/>
            <w:r w:rsidR="00C16083" w:rsidRPr="00C1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disease</w:t>
            </w:r>
          </w:p>
        </w:tc>
      </w:tr>
      <w:tr w:rsidR="00915FC9" w:rsidRPr="00555752" w14:paraId="606763F9" w14:textId="77777777" w:rsidTr="005557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A75FA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DCC8D2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Actimmune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10E154" w14:textId="77777777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Horizon Therapeutics</w:t>
            </w:r>
          </w:p>
        </w:tc>
        <w:tc>
          <w:tcPr>
            <w:tcW w:w="0" w:type="auto"/>
            <w:vAlign w:val="center"/>
            <w:hideMark/>
          </w:tcPr>
          <w:p w14:paraId="20A12078" w14:textId="54482635" w:rsidR="00555752" w:rsidRPr="00555752" w:rsidRDefault="00555752" w:rsidP="0055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52">
              <w:rPr>
                <w:rFonts w:ascii="Times New Roman" w:eastAsia="Times New Roman" w:hAnsi="Times New Roman" w:cs="Times New Roman"/>
                <w:sz w:val="24"/>
                <w:szCs w:val="24"/>
              </w:rPr>
              <w:t>$633,325</w:t>
            </w:r>
            <w:r w:rsidR="00C1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BAC" w:rsidRPr="00D02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osteopetrosis, g</w:t>
            </w:r>
            <w:r w:rsidR="00D0292C" w:rsidRPr="00D02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0A3BAC" w:rsidRPr="00D02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anu</w:t>
            </w:r>
            <w:r w:rsidR="00BA5523" w:rsidRPr="00D02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lomatous</w:t>
            </w:r>
          </w:p>
        </w:tc>
      </w:tr>
    </w:tbl>
    <w:p w14:paraId="79733320" w14:textId="6C85C4FC" w:rsidR="00555752" w:rsidRDefault="00555752" w:rsidP="0055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2">
        <w:rPr>
          <w:rFonts w:ascii="Times New Roman" w:eastAsia="Times New Roman" w:hAnsi="Times New Roman" w:cs="Times New Roman"/>
          <w:sz w:val="24"/>
          <w:szCs w:val="24"/>
        </w:rPr>
        <w:t xml:space="preserve">*This list includes prescription drugs and drugs only administered by a healthcare professional </w:t>
      </w:r>
    </w:p>
    <w:p w14:paraId="62E2F340" w14:textId="412CC8FB" w:rsidR="009E0A6D" w:rsidRDefault="009E0A6D" w:rsidP="0055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D7C33" w14:textId="58FFF194" w:rsidR="000B1764" w:rsidRDefault="00DD3CDD" w:rsidP="000B1764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>A specific industry strategy</w:t>
      </w:r>
      <w:r w:rsidR="007548FA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DD3CDD">
        <w:rPr>
          <w:rFonts w:ascii="Times New Roman" w:eastAsia="Times New Roman" w:hAnsi="Times New Roman" w:cs="Times New Roman"/>
          <w:sz w:val="24"/>
          <w:szCs w:val="24"/>
        </w:rPr>
        <w:t>to pursue treatment areas where insurer cost containment power is reduced</w:t>
      </w:r>
      <w:r w:rsidR="007548FA">
        <w:rPr>
          <w:rFonts w:ascii="Times New Roman" w:eastAsia="Times New Roman" w:hAnsi="Times New Roman" w:cs="Times New Roman"/>
          <w:sz w:val="24"/>
          <w:szCs w:val="24"/>
        </w:rPr>
        <w:t xml:space="preserve">, the disease is </w:t>
      </w:r>
      <w:r w:rsidR="008F6085">
        <w:rPr>
          <w:rFonts w:ascii="Times New Roman" w:eastAsia="Times New Roman" w:hAnsi="Times New Roman" w:cs="Times New Roman"/>
          <w:sz w:val="24"/>
          <w:szCs w:val="24"/>
        </w:rPr>
        <w:t>life threatening,</w:t>
      </w:r>
      <w:r w:rsidRPr="00DD3CD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E4219">
        <w:rPr>
          <w:rFonts w:ascii="Times New Roman" w:eastAsia="Times New Roman" w:hAnsi="Times New Roman" w:cs="Times New Roman"/>
          <w:sz w:val="24"/>
          <w:szCs w:val="24"/>
        </w:rPr>
        <w:t xml:space="preserve">there are few treatments available.  </w:t>
      </w:r>
      <w:r w:rsidR="00B450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5131D">
        <w:rPr>
          <w:rFonts w:ascii="Times New Roman" w:eastAsia="Times New Roman" w:hAnsi="Times New Roman" w:cs="Times New Roman"/>
          <w:sz w:val="24"/>
          <w:szCs w:val="24"/>
        </w:rPr>
        <w:t xml:space="preserve">ach disease affects a relatively limited number of </w:t>
      </w:r>
      <w:proofErr w:type="gramStart"/>
      <w:r w:rsidR="0025131D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="00B45009">
        <w:rPr>
          <w:rFonts w:ascii="Times New Roman" w:eastAsia="Times New Roman" w:hAnsi="Times New Roman" w:cs="Times New Roman"/>
          <w:sz w:val="24"/>
          <w:szCs w:val="24"/>
        </w:rPr>
        <w:t xml:space="preserve"> so we tend to accept extremely high prices</w:t>
      </w:r>
      <w:r w:rsidR="00776129">
        <w:rPr>
          <w:rFonts w:ascii="Times New Roman" w:eastAsia="Times New Roman" w:hAnsi="Times New Roman" w:cs="Times New Roman"/>
          <w:sz w:val="24"/>
          <w:szCs w:val="24"/>
        </w:rPr>
        <w:t>. But, u</w:t>
      </w:r>
      <w:r w:rsidR="008913C1">
        <w:rPr>
          <w:rFonts w:ascii="Times New Roman" w:eastAsia="Times New Roman" w:hAnsi="Times New Roman" w:cs="Times New Roman"/>
          <w:sz w:val="24"/>
          <w:szCs w:val="24"/>
        </w:rPr>
        <w:t xml:space="preserve">p to 15% of the US population </w:t>
      </w:r>
      <w:r w:rsidR="005F0981">
        <w:rPr>
          <w:rFonts w:ascii="Times New Roman" w:eastAsia="Times New Roman" w:hAnsi="Times New Roman" w:cs="Times New Roman"/>
          <w:sz w:val="24"/>
          <w:szCs w:val="24"/>
        </w:rPr>
        <w:t>(49 million people</w:t>
      </w:r>
      <w:r w:rsidR="001C1B2B">
        <w:rPr>
          <w:rFonts w:ascii="Times New Roman" w:eastAsia="Times New Roman" w:hAnsi="Times New Roman" w:cs="Times New Roman"/>
          <w:sz w:val="24"/>
          <w:szCs w:val="24"/>
        </w:rPr>
        <w:t xml:space="preserve"> out of 330 million</w:t>
      </w:r>
      <w:r w:rsidR="005F09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3C1">
        <w:rPr>
          <w:rFonts w:ascii="Times New Roman" w:eastAsia="Times New Roman" w:hAnsi="Times New Roman" w:cs="Times New Roman"/>
          <w:sz w:val="24"/>
          <w:szCs w:val="24"/>
        </w:rPr>
        <w:t>has either a rare disease (affect</w:t>
      </w:r>
      <w:r w:rsidR="00285C6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9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63">
        <w:rPr>
          <w:rFonts w:ascii="Times New Roman" w:eastAsia="Times New Roman" w:hAnsi="Times New Roman" w:cs="Times New Roman"/>
          <w:sz w:val="24"/>
          <w:szCs w:val="24"/>
        </w:rPr>
        <w:t xml:space="preserve">fewer than 200,000 people) or a disease </w:t>
      </w:r>
      <w:r w:rsidR="001E1EE5">
        <w:rPr>
          <w:rFonts w:ascii="Times New Roman" w:eastAsia="Times New Roman" w:hAnsi="Times New Roman" w:cs="Times New Roman"/>
          <w:sz w:val="24"/>
          <w:szCs w:val="24"/>
        </w:rPr>
        <w:t xml:space="preserve">that is life threatening </w:t>
      </w:r>
      <w:r w:rsidR="009D4AD6">
        <w:rPr>
          <w:rFonts w:ascii="Times New Roman" w:eastAsia="Times New Roman" w:hAnsi="Times New Roman" w:cs="Times New Roman"/>
          <w:sz w:val="24"/>
          <w:szCs w:val="24"/>
        </w:rPr>
        <w:t xml:space="preserve">in the absence of </w:t>
      </w:r>
      <w:r w:rsidR="001E1EE5">
        <w:rPr>
          <w:rFonts w:ascii="Times New Roman" w:eastAsia="Times New Roman" w:hAnsi="Times New Roman" w:cs="Times New Roman"/>
          <w:sz w:val="24"/>
          <w:szCs w:val="24"/>
        </w:rPr>
        <w:t xml:space="preserve">treatment </w:t>
      </w:r>
      <w:r w:rsidR="001916B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E1EE5">
        <w:rPr>
          <w:rFonts w:ascii="Times New Roman" w:eastAsia="Times New Roman" w:hAnsi="Times New Roman" w:cs="Times New Roman"/>
          <w:sz w:val="24"/>
          <w:szCs w:val="24"/>
        </w:rPr>
        <w:t>affects a</w:t>
      </w:r>
      <w:r w:rsidR="00930E52">
        <w:rPr>
          <w:rFonts w:ascii="Times New Roman" w:eastAsia="Times New Roman" w:hAnsi="Times New Roman" w:cs="Times New Roman"/>
          <w:sz w:val="24"/>
          <w:szCs w:val="24"/>
        </w:rPr>
        <w:t xml:space="preserve"> relatively small number of people: </w:t>
      </w:r>
    </w:p>
    <w:p w14:paraId="1E7FEE67" w14:textId="1C0AE916" w:rsidR="00DD3CDD" w:rsidRPr="001916BD" w:rsidRDefault="00DD3CDD" w:rsidP="001916BD">
      <w:pPr>
        <w:pStyle w:val="ListParagraph"/>
        <w:numPr>
          <w:ilvl w:val="0"/>
          <w:numId w:val="5"/>
        </w:num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6BD">
        <w:rPr>
          <w:rFonts w:ascii="Times New Roman" w:eastAsia="Times New Roman" w:hAnsi="Times New Roman" w:cs="Times New Roman"/>
          <w:sz w:val="24"/>
          <w:szCs w:val="24"/>
        </w:rPr>
        <w:t xml:space="preserve">Rare diseases – 25M people </w:t>
      </w:r>
    </w:p>
    <w:p w14:paraId="2CE9AED9" w14:textId="77777777" w:rsidR="00DD3CDD" w:rsidRPr="00DD3CDD" w:rsidRDefault="00DD3CDD" w:rsidP="00191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>Cancer – 1.7M people</w:t>
      </w:r>
      <w:r w:rsidRPr="00DD3CD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CD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E594F9" w14:textId="77777777" w:rsidR="00DD3CDD" w:rsidRPr="00DD3CDD" w:rsidRDefault="00DD3CDD" w:rsidP="00191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>COPD – 16M people</w:t>
      </w:r>
    </w:p>
    <w:p w14:paraId="5190DBA3" w14:textId="77777777" w:rsidR="00DD3CDD" w:rsidRPr="00DD3CDD" w:rsidRDefault="00DD3CDD" w:rsidP="00191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>Lupus – 1.5M people</w:t>
      </w:r>
    </w:p>
    <w:p w14:paraId="3D46EB7C" w14:textId="77777777" w:rsidR="00DD3CDD" w:rsidRPr="00DD3CDD" w:rsidRDefault="00DD3CDD" w:rsidP="00191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 w:rsidRPr="00DD3CDD">
        <w:rPr>
          <w:rFonts w:ascii="Times New Roman" w:eastAsia="Times New Roman" w:hAnsi="Times New Roman" w:cs="Times New Roman"/>
          <w:sz w:val="24"/>
          <w:szCs w:val="24"/>
        </w:rPr>
        <w:t>--  1</w:t>
      </w:r>
      <w:proofErr w:type="gramEnd"/>
      <w:r w:rsidRPr="00DD3CDD">
        <w:rPr>
          <w:rFonts w:ascii="Times New Roman" w:eastAsia="Times New Roman" w:hAnsi="Times New Roman" w:cs="Times New Roman"/>
          <w:sz w:val="24"/>
          <w:szCs w:val="24"/>
        </w:rPr>
        <w:t>M people</w:t>
      </w:r>
    </w:p>
    <w:p w14:paraId="64C4C3C5" w14:textId="77777777" w:rsidR="00DD3CDD" w:rsidRPr="00DD3CDD" w:rsidRDefault="00DD3CDD" w:rsidP="00191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>Epilepsy – 3M people</w:t>
      </w:r>
    </w:p>
    <w:p w14:paraId="6B974098" w14:textId="77777777" w:rsidR="00DD3CDD" w:rsidRPr="00DD3CDD" w:rsidRDefault="00DD3CDD" w:rsidP="00191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D">
        <w:rPr>
          <w:rFonts w:ascii="Times New Roman" w:eastAsia="Times New Roman" w:hAnsi="Times New Roman" w:cs="Times New Roman"/>
          <w:sz w:val="24"/>
          <w:szCs w:val="24"/>
        </w:rPr>
        <w:t>Sickle Cell – 1M people</w:t>
      </w:r>
    </w:p>
    <w:p w14:paraId="42DC3FE6" w14:textId="5C635F36" w:rsidR="00DD3CDD" w:rsidRDefault="00DD3CDD" w:rsidP="0055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8895C" w14:textId="182669C9" w:rsidR="005F0981" w:rsidRPr="00555752" w:rsidRDefault="005F0981" w:rsidP="0055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treatments </w:t>
      </w:r>
      <w:r w:rsidR="002139FB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85">
        <w:rPr>
          <w:rFonts w:ascii="Times New Roman" w:eastAsia="Times New Roman" w:hAnsi="Times New Roman" w:cs="Times New Roman"/>
          <w:sz w:val="24"/>
          <w:szCs w:val="24"/>
        </w:rPr>
        <w:t xml:space="preserve">$1 million or $2 million per year </w:t>
      </w:r>
      <w:r w:rsidR="00DC649C">
        <w:rPr>
          <w:rFonts w:ascii="Times New Roman" w:eastAsia="Times New Roman" w:hAnsi="Times New Roman" w:cs="Times New Roman"/>
          <w:sz w:val="24"/>
          <w:szCs w:val="24"/>
        </w:rPr>
        <w:t xml:space="preserve">per person </w:t>
      </w:r>
      <w:r w:rsidR="000C4985">
        <w:rPr>
          <w:rFonts w:ascii="Times New Roman" w:eastAsia="Times New Roman" w:hAnsi="Times New Roman" w:cs="Times New Roman"/>
          <w:sz w:val="24"/>
          <w:szCs w:val="24"/>
        </w:rPr>
        <w:t xml:space="preserve">for each drug that </w:t>
      </w:r>
      <w:r w:rsidR="00DC649C">
        <w:rPr>
          <w:rFonts w:ascii="Times New Roman" w:eastAsia="Times New Roman" w:hAnsi="Times New Roman" w:cs="Times New Roman"/>
          <w:sz w:val="24"/>
          <w:szCs w:val="24"/>
        </w:rPr>
        <w:t>treats these diseases, the</w:t>
      </w:r>
      <w:r w:rsidR="005725D2">
        <w:rPr>
          <w:rFonts w:ascii="Times New Roman" w:eastAsia="Times New Roman" w:hAnsi="Times New Roman" w:cs="Times New Roman"/>
          <w:sz w:val="24"/>
          <w:szCs w:val="24"/>
        </w:rPr>
        <w:t>se products will be</w:t>
      </w:r>
      <w:r w:rsidR="00B41119">
        <w:rPr>
          <w:rFonts w:ascii="Times New Roman" w:eastAsia="Times New Roman" w:hAnsi="Times New Roman" w:cs="Times New Roman"/>
          <w:sz w:val="24"/>
          <w:szCs w:val="24"/>
        </w:rPr>
        <w:t>come</w:t>
      </w:r>
      <w:r w:rsidR="005725D2">
        <w:rPr>
          <w:rFonts w:ascii="Times New Roman" w:eastAsia="Times New Roman" w:hAnsi="Times New Roman" w:cs="Times New Roman"/>
          <w:sz w:val="24"/>
          <w:szCs w:val="24"/>
        </w:rPr>
        <w:t xml:space="preserve"> ‘financially toxic’ for people who need them</w:t>
      </w:r>
      <w:r w:rsidR="00EB2CA7">
        <w:rPr>
          <w:rFonts w:ascii="Times New Roman" w:eastAsia="Times New Roman" w:hAnsi="Times New Roman" w:cs="Times New Roman"/>
          <w:sz w:val="24"/>
          <w:szCs w:val="24"/>
        </w:rPr>
        <w:t xml:space="preserve"> and our healthcare system.</w:t>
      </w:r>
      <w:r w:rsidR="005725D2">
        <w:rPr>
          <w:rFonts w:ascii="Times New Roman" w:eastAsia="Times New Roman" w:hAnsi="Times New Roman" w:cs="Times New Roman"/>
          <w:sz w:val="24"/>
          <w:szCs w:val="24"/>
        </w:rPr>
        <w:t xml:space="preserve">  We are </w:t>
      </w:r>
      <w:r w:rsidR="00DC649C">
        <w:rPr>
          <w:rFonts w:ascii="Times New Roman" w:eastAsia="Times New Roman" w:hAnsi="Times New Roman" w:cs="Times New Roman"/>
          <w:sz w:val="24"/>
          <w:szCs w:val="24"/>
        </w:rPr>
        <w:t xml:space="preserve">going to have to find a way to </w:t>
      </w:r>
      <w:r w:rsidR="009069D1">
        <w:rPr>
          <w:rFonts w:ascii="Times New Roman" w:eastAsia="Times New Roman" w:hAnsi="Times New Roman" w:cs="Times New Roman"/>
          <w:sz w:val="24"/>
          <w:szCs w:val="24"/>
        </w:rPr>
        <w:t xml:space="preserve">afford </w:t>
      </w:r>
      <w:r w:rsidR="00DC649C">
        <w:rPr>
          <w:rFonts w:ascii="Times New Roman" w:eastAsia="Times New Roman" w:hAnsi="Times New Roman" w:cs="Times New Roman"/>
          <w:sz w:val="24"/>
          <w:szCs w:val="24"/>
        </w:rPr>
        <w:t>these products</w:t>
      </w:r>
      <w:r w:rsidR="009069D1">
        <w:rPr>
          <w:rFonts w:ascii="Times New Roman" w:eastAsia="Times New Roman" w:hAnsi="Times New Roman" w:cs="Times New Roman"/>
          <w:sz w:val="24"/>
          <w:szCs w:val="24"/>
        </w:rPr>
        <w:t xml:space="preserve"> so that people have </w:t>
      </w:r>
      <w:r w:rsidR="00B41119"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 w:rsidR="009069D1">
        <w:rPr>
          <w:rFonts w:ascii="Times New Roman" w:eastAsia="Times New Roman" w:hAnsi="Times New Roman" w:cs="Times New Roman"/>
          <w:sz w:val="24"/>
          <w:szCs w:val="24"/>
        </w:rPr>
        <w:t xml:space="preserve">access to them without </w:t>
      </w:r>
      <w:r w:rsidR="007F218B">
        <w:rPr>
          <w:rFonts w:ascii="Times New Roman" w:eastAsia="Times New Roman" w:hAnsi="Times New Roman" w:cs="Times New Roman"/>
          <w:sz w:val="24"/>
          <w:szCs w:val="24"/>
        </w:rPr>
        <w:t>becoming bankrupt</w:t>
      </w:r>
      <w:r w:rsidR="00DC6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18B">
        <w:rPr>
          <w:rFonts w:ascii="Times New Roman" w:eastAsia="Times New Roman" w:hAnsi="Times New Roman" w:cs="Times New Roman"/>
          <w:sz w:val="24"/>
          <w:szCs w:val="24"/>
        </w:rPr>
        <w:t xml:space="preserve">If we can afford these products, manufacturers will sell more than if </w:t>
      </w:r>
      <w:r w:rsidR="00EC1F1E">
        <w:rPr>
          <w:rFonts w:ascii="Times New Roman" w:eastAsia="Times New Roman" w:hAnsi="Times New Roman" w:cs="Times New Roman"/>
          <w:sz w:val="24"/>
          <w:szCs w:val="24"/>
        </w:rPr>
        <w:t>we cannot afford these products</w:t>
      </w:r>
      <w:r w:rsidR="004E7B0E">
        <w:rPr>
          <w:rFonts w:ascii="Times New Roman" w:eastAsia="Times New Roman" w:hAnsi="Times New Roman" w:cs="Times New Roman"/>
          <w:sz w:val="24"/>
          <w:szCs w:val="24"/>
        </w:rPr>
        <w:t>, so innovation will be rewarded</w:t>
      </w:r>
      <w:r w:rsidR="00EC1F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B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3397">
        <w:rPr>
          <w:rFonts w:ascii="Times New Roman" w:eastAsia="Times New Roman" w:hAnsi="Times New Roman" w:cs="Times New Roman"/>
          <w:sz w:val="24"/>
          <w:szCs w:val="24"/>
        </w:rPr>
        <w:t xml:space="preserve">A Prescription Drug Affordability Board will establish the costs at which access is assured and </w:t>
      </w:r>
      <w:r w:rsidR="00A97441">
        <w:rPr>
          <w:rFonts w:ascii="Times New Roman" w:eastAsia="Times New Roman" w:hAnsi="Times New Roman" w:cs="Times New Roman"/>
          <w:sz w:val="24"/>
          <w:szCs w:val="24"/>
        </w:rPr>
        <w:t xml:space="preserve">innovation is appropriately rewarded. </w:t>
      </w:r>
    </w:p>
    <w:p w14:paraId="1ECBA598" w14:textId="77777777" w:rsidR="001A2AEC" w:rsidRPr="00BF5B11" w:rsidRDefault="001A2AEC" w:rsidP="001A2AEC">
      <w:pPr>
        <w:spacing w:after="0"/>
        <w:rPr>
          <w:rFonts w:eastAsia="Times New Roman" w:cstheme="minorHAnsi"/>
          <w:szCs w:val="24"/>
        </w:rPr>
      </w:pPr>
    </w:p>
    <w:sectPr w:rsidR="001A2AEC" w:rsidRPr="00BF5B11" w:rsidSect="00703348">
      <w:footerReference w:type="default" r:id="rId2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26EAD" w14:textId="77777777" w:rsidR="00BA2559" w:rsidRDefault="00BA2559" w:rsidP="00AE51E5">
      <w:pPr>
        <w:spacing w:after="0" w:line="240" w:lineRule="auto"/>
      </w:pPr>
      <w:r>
        <w:separator/>
      </w:r>
    </w:p>
  </w:endnote>
  <w:endnote w:type="continuationSeparator" w:id="0">
    <w:p w14:paraId="58DBBFF0" w14:textId="77777777" w:rsidR="00BA2559" w:rsidRDefault="00BA2559" w:rsidP="00A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362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499216" w14:textId="2BD41BA1" w:rsidR="00A566EA" w:rsidRDefault="00A566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D61FE2">
          <w:rPr>
            <w:rFonts w:ascii="Cambria" w:hAnsi="Cambria"/>
            <w:b/>
            <w:bCs/>
            <w:sz w:val="20"/>
            <w:szCs w:val="20"/>
          </w:rPr>
          <w:t xml:space="preserve">| </w:t>
        </w:r>
        <w:r w:rsidRPr="00D61FE2">
          <w:rPr>
            <w:rFonts w:ascii="Cambria" w:hAnsi="Cambria"/>
            <w:color w:val="7F7F7F" w:themeColor="background1" w:themeShade="7F"/>
            <w:spacing w:val="60"/>
            <w:sz w:val="20"/>
            <w:szCs w:val="20"/>
          </w:rPr>
          <w:t xml:space="preserve">Page </w:t>
        </w:r>
        <w:r w:rsidRPr="00D61FE2">
          <w:rPr>
            <w:rFonts w:ascii="Cambria" w:hAnsi="Cambria"/>
            <w:i/>
            <w:iCs/>
            <w:color w:val="7F7F7F" w:themeColor="background1" w:themeShade="7F"/>
            <w:spacing w:val="60"/>
            <w:sz w:val="20"/>
            <w:szCs w:val="20"/>
          </w:rPr>
          <w:t>Horvath Health Policy,</w:t>
        </w:r>
        <w:r w:rsidR="0000502A" w:rsidRPr="00D61FE2">
          <w:rPr>
            <w:rFonts w:ascii="Cambria" w:hAnsi="Cambria"/>
            <w:i/>
            <w:iCs/>
            <w:color w:val="7F7F7F" w:themeColor="background1" w:themeShade="7F"/>
            <w:spacing w:val="60"/>
            <w:sz w:val="20"/>
            <w:szCs w:val="20"/>
          </w:rPr>
          <w:t xml:space="preserve"> Innovations in Healthcare Financing</w:t>
        </w:r>
        <w:r w:rsidR="00D61FE2" w:rsidRPr="00D61FE2">
          <w:rPr>
            <w:rFonts w:ascii="Cambria" w:hAnsi="Cambria"/>
            <w:color w:val="7F7F7F" w:themeColor="background1" w:themeShade="7F"/>
            <w:spacing w:val="60"/>
            <w:sz w:val="20"/>
            <w:szCs w:val="20"/>
          </w:rPr>
          <w:t>, January 2021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7DD0EC21" w14:textId="77777777" w:rsidR="00EF6C3D" w:rsidRDefault="00EF6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122B" w14:textId="77777777" w:rsidR="00BA2559" w:rsidRDefault="00BA2559" w:rsidP="00AE51E5">
      <w:pPr>
        <w:spacing w:after="0" w:line="240" w:lineRule="auto"/>
      </w:pPr>
      <w:r>
        <w:separator/>
      </w:r>
    </w:p>
  </w:footnote>
  <w:footnote w:type="continuationSeparator" w:id="0">
    <w:p w14:paraId="76B3EBC5" w14:textId="77777777" w:rsidR="00BA2559" w:rsidRDefault="00BA2559" w:rsidP="00AE51E5">
      <w:pPr>
        <w:spacing w:after="0" w:line="240" w:lineRule="auto"/>
      </w:pPr>
      <w:r>
        <w:continuationSeparator/>
      </w:r>
    </w:p>
  </w:footnote>
  <w:footnote w:id="1">
    <w:p w14:paraId="29BED885" w14:textId="312572E6" w:rsidR="008B6849" w:rsidRDefault="008B68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3CF0">
        <w:t xml:space="preserve">Sometimes the FFS price might be higher than market but that could be due to changes in the market during the period of the FFS </w:t>
      </w:r>
      <w:r w:rsidR="009F7CAE">
        <w:t>contract.</w:t>
      </w:r>
    </w:p>
  </w:footnote>
  <w:footnote w:id="2">
    <w:p w14:paraId="0E08B876" w14:textId="2ED906C7" w:rsidR="00AA52BD" w:rsidRDefault="00AA52BD">
      <w:pPr>
        <w:pStyle w:val="FootnoteText"/>
      </w:pPr>
      <w:r>
        <w:rPr>
          <w:rStyle w:val="FootnoteReference"/>
        </w:rPr>
        <w:footnoteRef/>
      </w:r>
      <w:r>
        <w:t xml:space="preserve"> 340B </w:t>
      </w:r>
      <w:r w:rsidR="00B20B3B">
        <w:t xml:space="preserve">2019 </w:t>
      </w:r>
      <w:r w:rsidR="00F36152">
        <w:t xml:space="preserve">total </w:t>
      </w:r>
      <w:r w:rsidR="00B20B3B">
        <w:t>sales are</w:t>
      </w:r>
      <w:r>
        <w:t xml:space="preserve"> estimated to total </w:t>
      </w:r>
      <w:r w:rsidR="00F36152">
        <w:t>$30B, or 8% of total US drug sales.</w:t>
      </w:r>
      <w:r w:rsidR="00436020">
        <w:t xml:space="preserve"> </w:t>
      </w:r>
      <w:r w:rsidR="00436020" w:rsidRPr="00436020">
        <w:rPr>
          <w:i/>
          <w:iCs/>
        </w:rPr>
        <w:t>Drug Channels</w:t>
      </w:r>
      <w:r w:rsidR="00436020">
        <w:t xml:space="preserve"> July 23, 2020.</w:t>
      </w:r>
    </w:p>
  </w:footnote>
  <w:footnote w:id="3">
    <w:p w14:paraId="709DA3F5" w14:textId="39AF6B0C" w:rsidR="007A6383" w:rsidRDefault="007A6383">
      <w:pPr>
        <w:pStyle w:val="FootnoteText"/>
      </w:pPr>
      <w:r>
        <w:rPr>
          <w:rStyle w:val="FootnoteReference"/>
        </w:rPr>
        <w:footnoteRef/>
      </w:r>
      <w:r>
        <w:t xml:space="preserve"> A 14ml dose</w:t>
      </w:r>
      <w:r w:rsidR="00CB69E1">
        <w:t xml:space="preserve"> costs $5,500 and is typically given every 3 weeks </w:t>
      </w:r>
      <w:r w:rsidR="006C203A">
        <w:t xml:space="preserve">(17 doses).  </w:t>
      </w:r>
    </w:p>
  </w:footnote>
  <w:footnote w:id="4">
    <w:p w14:paraId="53AC08E9" w14:textId="04393873" w:rsidR="00CC669A" w:rsidRDefault="00CC669A">
      <w:pPr>
        <w:pStyle w:val="FootnoteText"/>
      </w:pPr>
      <w:r>
        <w:rPr>
          <w:rStyle w:val="FootnoteReference"/>
        </w:rPr>
        <w:footnoteRef/>
      </w:r>
      <w:r>
        <w:t xml:space="preserve"> There are issues concerning Medicaid best price that would have to be considered </w:t>
      </w:r>
      <w:r w:rsidR="00E05F7B">
        <w:t>by a PDAB that can be worked through using these data sou</w:t>
      </w:r>
      <w:r w:rsidR="002E5AAF">
        <w:t xml:space="preserve">rces.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F0475"/>
    <w:multiLevelType w:val="hybridMultilevel"/>
    <w:tmpl w:val="44EEF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668CE"/>
    <w:multiLevelType w:val="hybridMultilevel"/>
    <w:tmpl w:val="FACC0B9A"/>
    <w:lvl w:ilvl="0" w:tplc="679C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C9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D2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2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2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0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082E59"/>
    <w:multiLevelType w:val="hybridMultilevel"/>
    <w:tmpl w:val="9BF2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3AA"/>
    <w:multiLevelType w:val="hybridMultilevel"/>
    <w:tmpl w:val="06B2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3C80"/>
    <w:multiLevelType w:val="hybridMultilevel"/>
    <w:tmpl w:val="629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C"/>
    <w:rsid w:val="00002833"/>
    <w:rsid w:val="00002DC3"/>
    <w:rsid w:val="0000502A"/>
    <w:rsid w:val="00030BBF"/>
    <w:rsid w:val="000339D5"/>
    <w:rsid w:val="000400EF"/>
    <w:rsid w:val="000438E5"/>
    <w:rsid w:val="00046258"/>
    <w:rsid w:val="00052EC0"/>
    <w:rsid w:val="00057258"/>
    <w:rsid w:val="00061154"/>
    <w:rsid w:val="00066CF0"/>
    <w:rsid w:val="0007165B"/>
    <w:rsid w:val="000731A0"/>
    <w:rsid w:val="00073DFF"/>
    <w:rsid w:val="00081B15"/>
    <w:rsid w:val="00081D24"/>
    <w:rsid w:val="00093FEB"/>
    <w:rsid w:val="000A3BAC"/>
    <w:rsid w:val="000A4BC8"/>
    <w:rsid w:val="000B082D"/>
    <w:rsid w:val="000B1764"/>
    <w:rsid w:val="000B29EC"/>
    <w:rsid w:val="000B48DB"/>
    <w:rsid w:val="000B55AB"/>
    <w:rsid w:val="000C4985"/>
    <w:rsid w:val="000C7E69"/>
    <w:rsid w:val="000D773E"/>
    <w:rsid w:val="000E0B3C"/>
    <w:rsid w:val="000F01F4"/>
    <w:rsid w:val="00105997"/>
    <w:rsid w:val="00106B2E"/>
    <w:rsid w:val="00115737"/>
    <w:rsid w:val="0011580F"/>
    <w:rsid w:val="00115F43"/>
    <w:rsid w:val="00136335"/>
    <w:rsid w:val="001443B2"/>
    <w:rsid w:val="001606DE"/>
    <w:rsid w:val="001708F8"/>
    <w:rsid w:val="001716AD"/>
    <w:rsid w:val="001859E6"/>
    <w:rsid w:val="001916BD"/>
    <w:rsid w:val="00194070"/>
    <w:rsid w:val="001A2AEC"/>
    <w:rsid w:val="001A3B9F"/>
    <w:rsid w:val="001A78AF"/>
    <w:rsid w:val="001B7365"/>
    <w:rsid w:val="001B757A"/>
    <w:rsid w:val="001C1B2B"/>
    <w:rsid w:val="001C51B0"/>
    <w:rsid w:val="001C6072"/>
    <w:rsid w:val="001D0659"/>
    <w:rsid w:val="001D0C86"/>
    <w:rsid w:val="001D1405"/>
    <w:rsid w:val="001D4CEA"/>
    <w:rsid w:val="001E11FF"/>
    <w:rsid w:val="001E1DE1"/>
    <w:rsid w:val="001E1EE5"/>
    <w:rsid w:val="001E222C"/>
    <w:rsid w:val="001E444B"/>
    <w:rsid w:val="001E5AEF"/>
    <w:rsid w:val="001F0D80"/>
    <w:rsid w:val="001F4545"/>
    <w:rsid w:val="001F6B6A"/>
    <w:rsid w:val="0021171D"/>
    <w:rsid w:val="0021320B"/>
    <w:rsid w:val="002139FB"/>
    <w:rsid w:val="002174AF"/>
    <w:rsid w:val="00222CDD"/>
    <w:rsid w:val="00222CFF"/>
    <w:rsid w:val="00225074"/>
    <w:rsid w:val="00227BA9"/>
    <w:rsid w:val="00234300"/>
    <w:rsid w:val="00235B91"/>
    <w:rsid w:val="00236639"/>
    <w:rsid w:val="0024364E"/>
    <w:rsid w:val="00243B41"/>
    <w:rsid w:val="002454C5"/>
    <w:rsid w:val="002459E6"/>
    <w:rsid w:val="0025131D"/>
    <w:rsid w:val="00254AFD"/>
    <w:rsid w:val="002553EA"/>
    <w:rsid w:val="00261429"/>
    <w:rsid w:val="002627C0"/>
    <w:rsid w:val="00272E27"/>
    <w:rsid w:val="00281EA8"/>
    <w:rsid w:val="00282620"/>
    <w:rsid w:val="00283663"/>
    <w:rsid w:val="00285C63"/>
    <w:rsid w:val="0028657D"/>
    <w:rsid w:val="00291C37"/>
    <w:rsid w:val="00292E00"/>
    <w:rsid w:val="002A22E7"/>
    <w:rsid w:val="002A3FD5"/>
    <w:rsid w:val="002C3A59"/>
    <w:rsid w:val="002C54E5"/>
    <w:rsid w:val="002C6401"/>
    <w:rsid w:val="002D30B2"/>
    <w:rsid w:val="002D3D43"/>
    <w:rsid w:val="002D5E37"/>
    <w:rsid w:val="002D762D"/>
    <w:rsid w:val="002E043A"/>
    <w:rsid w:val="002E1E23"/>
    <w:rsid w:val="002E2492"/>
    <w:rsid w:val="002E5AAF"/>
    <w:rsid w:val="003072C2"/>
    <w:rsid w:val="00320970"/>
    <w:rsid w:val="00330EFF"/>
    <w:rsid w:val="0033137F"/>
    <w:rsid w:val="003348A5"/>
    <w:rsid w:val="0034255B"/>
    <w:rsid w:val="003535A7"/>
    <w:rsid w:val="00354A90"/>
    <w:rsid w:val="00364929"/>
    <w:rsid w:val="00375DC9"/>
    <w:rsid w:val="00376720"/>
    <w:rsid w:val="00376932"/>
    <w:rsid w:val="003777AD"/>
    <w:rsid w:val="00377982"/>
    <w:rsid w:val="00377DD6"/>
    <w:rsid w:val="00384E0F"/>
    <w:rsid w:val="00391C4F"/>
    <w:rsid w:val="00391F90"/>
    <w:rsid w:val="00392606"/>
    <w:rsid w:val="003A3FF9"/>
    <w:rsid w:val="003B12B9"/>
    <w:rsid w:val="003B55D8"/>
    <w:rsid w:val="003C15A2"/>
    <w:rsid w:val="003C5EAA"/>
    <w:rsid w:val="003D3BAE"/>
    <w:rsid w:val="003D3F2F"/>
    <w:rsid w:val="003D6B17"/>
    <w:rsid w:val="003E082D"/>
    <w:rsid w:val="003E3A59"/>
    <w:rsid w:val="003F3F79"/>
    <w:rsid w:val="003F4721"/>
    <w:rsid w:val="00402130"/>
    <w:rsid w:val="00406DBA"/>
    <w:rsid w:val="00413AD8"/>
    <w:rsid w:val="00415555"/>
    <w:rsid w:val="00436020"/>
    <w:rsid w:val="0043616D"/>
    <w:rsid w:val="00437793"/>
    <w:rsid w:val="00443215"/>
    <w:rsid w:val="004477E0"/>
    <w:rsid w:val="00447C90"/>
    <w:rsid w:val="00447E69"/>
    <w:rsid w:val="00451233"/>
    <w:rsid w:val="0045399C"/>
    <w:rsid w:val="00453ADD"/>
    <w:rsid w:val="00460D90"/>
    <w:rsid w:val="00461384"/>
    <w:rsid w:val="0046154A"/>
    <w:rsid w:val="00463462"/>
    <w:rsid w:val="0047192D"/>
    <w:rsid w:val="00483E13"/>
    <w:rsid w:val="004847D5"/>
    <w:rsid w:val="00493527"/>
    <w:rsid w:val="004943E4"/>
    <w:rsid w:val="00496977"/>
    <w:rsid w:val="004A0F2A"/>
    <w:rsid w:val="004C1451"/>
    <w:rsid w:val="004C17B5"/>
    <w:rsid w:val="004C6F12"/>
    <w:rsid w:val="004D028A"/>
    <w:rsid w:val="004E14BD"/>
    <w:rsid w:val="004E20FE"/>
    <w:rsid w:val="004E7B0E"/>
    <w:rsid w:val="004F23C9"/>
    <w:rsid w:val="0052562E"/>
    <w:rsid w:val="00526F8C"/>
    <w:rsid w:val="005308EA"/>
    <w:rsid w:val="00543281"/>
    <w:rsid w:val="00555752"/>
    <w:rsid w:val="00556270"/>
    <w:rsid w:val="005672D1"/>
    <w:rsid w:val="005725D2"/>
    <w:rsid w:val="00573C0D"/>
    <w:rsid w:val="00573C1B"/>
    <w:rsid w:val="00583741"/>
    <w:rsid w:val="00585BB4"/>
    <w:rsid w:val="005A1AA2"/>
    <w:rsid w:val="005A3AFE"/>
    <w:rsid w:val="005B7C1C"/>
    <w:rsid w:val="005C0495"/>
    <w:rsid w:val="005C3581"/>
    <w:rsid w:val="005D14F9"/>
    <w:rsid w:val="005D2183"/>
    <w:rsid w:val="005D25F0"/>
    <w:rsid w:val="005D42CE"/>
    <w:rsid w:val="005D70DB"/>
    <w:rsid w:val="005E27F4"/>
    <w:rsid w:val="005E72A6"/>
    <w:rsid w:val="005E7FE9"/>
    <w:rsid w:val="005F0981"/>
    <w:rsid w:val="005F6146"/>
    <w:rsid w:val="00601F80"/>
    <w:rsid w:val="00602437"/>
    <w:rsid w:val="006039DA"/>
    <w:rsid w:val="006070F5"/>
    <w:rsid w:val="0061232E"/>
    <w:rsid w:val="00620574"/>
    <w:rsid w:val="00621CF5"/>
    <w:rsid w:val="00622BBD"/>
    <w:rsid w:val="0062753F"/>
    <w:rsid w:val="00627BA4"/>
    <w:rsid w:val="006317B7"/>
    <w:rsid w:val="006338F1"/>
    <w:rsid w:val="00636C76"/>
    <w:rsid w:val="006420F6"/>
    <w:rsid w:val="006438A4"/>
    <w:rsid w:val="00644BEA"/>
    <w:rsid w:val="006462B0"/>
    <w:rsid w:val="00646C09"/>
    <w:rsid w:val="006562DD"/>
    <w:rsid w:val="00661CEC"/>
    <w:rsid w:val="00662EF4"/>
    <w:rsid w:val="00667298"/>
    <w:rsid w:val="00677827"/>
    <w:rsid w:val="00681931"/>
    <w:rsid w:val="00681FCD"/>
    <w:rsid w:val="0069046B"/>
    <w:rsid w:val="00690EB9"/>
    <w:rsid w:val="00692A90"/>
    <w:rsid w:val="006942F3"/>
    <w:rsid w:val="006B284A"/>
    <w:rsid w:val="006B6B96"/>
    <w:rsid w:val="006C203A"/>
    <w:rsid w:val="006D3538"/>
    <w:rsid w:val="006D77AA"/>
    <w:rsid w:val="006F61B8"/>
    <w:rsid w:val="00703348"/>
    <w:rsid w:val="00703B16"/>
    <w:rsid w:val="0070517B"/>
    <w:rsid w:val="00725650"/>
    <w:rsid w:val="00727446"/>
    <w:rsid w:val="00730497"/>
    <w:rsid w:val="00731218"/>
    <w:rsid w:val="00732E7B"/>
    <w:rsid w:val="007404FA"/>
    <w:rsid w:val="00742AD3"/>
    <w:rsid w:val="007436E8"/>
    <w:rsid w:val="007548FA"/>
    <w:rsid w:val="00755C7D"/>
    <w:rsid w:val="00757BA7"/>
    <w:rsid w:val="007604B2"/>
    <w:rsid w:val="0076336E"/>
    <w:rsid w:val="007645EB"/>
    <w:rsid w:val="007700C6"/>
    <w:rsid w:val="00772579"/>
    <w:rsid w:val="00776129"/>
    <w:rsid w:val="007766C2"/>
    <w:rsid w:val="00783E4B"/>
    <w:rsid w:val="007A1495"/>
    <w:rsid w:val="007A3447"/>
    <w:rsid w:val="007A6383"/>
    <w:rsid w:val="007A7D97"/>
    <w:rsid w:val="007B0CEC"/>
    <w:rsid w:val="007C11A0"/>
    <w:rsid w:val="007C1739"/>
    <w:rsid w:val="007C1C0B"/>
    <w:rsid w:val="007C26E1"/>
    <w:rsid w:val="007C517E"/>
    <w:rsid w:val="007D2438"/>
    <w:rsid w:val="007D45E6"/>
    <w:rsid w:val="007E412D"/>
    <w:rsid w:val="007F218B"/>
    <w:rsid w:val="007F48DB"/>
    <w:rsid w:val="007F6150"/>
    <w:rsid w:val="00804AAD"/>
    <w:rsid w:val="00810E39"/>
    <w:rsid w:val="008114A5"/>
    <w:rsid w:val="00813313"/>
    <w:rsid w:val="00820DC2"/>
    <w:rsid w:val="0082405B"/>
    <w:rsid w:val="008310E9"/>
    <w:rsid w:val="0083262A"/>
    <w:rsid w:val="00835181"/>
    <w:rsid w:val="00837905"/>
    <w:rsid w:val="00841A27"/>
    <w:rsid w:val="008467AA"/>
    <w:rsid w:val="008504F2"/>
    <w:rsid w:val="00853ACB"/>
    <w:rsid w:val="00853CF0"/>
    <w:rsid w:val="0085724D"/>
    <w:rsid w:val="0086053B"/>
    <w:rsid w:val="008616A5"/>
    <w:rsid w:val="00863D9A"/>
    <w:rsid w:val="0087272E"/>
    <w:rsid w:val="008833F0"/>
    <w:rsid w:val="00885BF3"/>
    <w:rsid w:val="00887F1A"/>
    <w:rsid w:val="008913C1"/>
    <w:rsid w:val="00894E7C"/>
    <w:rsid w:val="00895689"/>
    <w:rsid w:val="008A2932"/>
    <w:rsid w:val="008A3B8A"/>
    <w:rsid w:val="008A4E9A"/>
    <w:rsid w:val="008A5949"/>
    <w:rsid w:val="008B0A94"/>
    <w:rsid w:val="008B6849"/>
    <w:rsid w:val="008C0E3B"/>
    <w:rsid w:val="008C2162"/>
    <w:rsid w:val="008C47BA"/>
    <w:rsid w:val="008C5834"/>
    <w:rsid w:val="008C7B80"/>
    <w:rsid w:val="008D1CB9"/>
    <w:rsid w:val="008D4273"/>
    <w:rsid w:val="008D576F"/>
    <w:rsid w:val="008D66B7"/>
    <w:rsid w:val="008E05D2"/>
    <w:rsid w:val="008E1374"/>
    <w:rsid w:val="008E7A97"/>
    <w:rsid w:val="008F0542"/>
    <w:rsid w:val="008F0DA5"/>
    <w:rsid w:val="008F4127"/>
    <w:rsid w:val="008F6085"/>
    <w:rsid w:val="009069D1"/>
    <w:rsid w:val="00912376"/>
    <w:rsid w:val="009155F3"/>
    <w:rsid w:val="00915FC9"/>
    <w:rsid w:val="00922B31"/>
    <w:rsid w:val="009303A3"/>
    <w:rsid w:val="00930E52"/>
    <w:rsid w:val="009311FF"/>
    <w:rsid w:val="009314B0"/>
    <w:rsid w:val="00931546"/>
    <w:rsid w:val="00931CF1"/>
    <w:rsid w:val="00937AC4"/>
    <w:rsid w:val="00941FDF"/>
    <w:rsid w:val="0094431A"/>
    <w:rsid w:val="00951DE4"/>
    <w:rsid w:val="0095364B"/>
    <w:rsid w:val="00953EEF"/>
    <w:rsid w:val="00956199"/>
    <w:rsid w:val="00957F50"/>
    <w:rsid w:val="009615B3"/>
    <w:rsid w:val="00962D06"/>
    <w:rsid w:val="0096343A"/>
    <w:rsid w:val="0096400B"/>
    <w:rsid w:val="00970D17"/>
    <w:rsid w:val="00970DD2"/>
    <w:rsid w:val="00976377"/>
    <w:rsid w:val="00981C7A"/>
    <w:rsid w:val="00987019"/>
    <w:rsid w:val="009914F3"/>
    <w:rsid w:val="0099402A"/>
    <w:rsid w:val="009A3C76"/>
    <w:rsid w:val="009A604D"/>
    <w:rsid w:val="009B15E7"/>
    <w:rsid w:val="009B242D"/>
    <w:rsid w:val="009B419B"/>
    <w:rsid w:val="009B68C5"/>
    <w:rsid w:val="009B756E"/>
    <w:rsid w:val="009B7E4A"/>
    <w:rsid w:val="009C0715"/>
    <w:rsid w:val="009C6FE3"/>
    <w:rsid w:val="009C70D9"/>
    <w:rsid w:val="009D1C26"/>
    <w:rsid w:val="009D361C"/>
    <w:rsid w:val="009D4AD6"/>
    <w:rsid w:val="009D7967"/>
    <w:rsid w:val="009E0A6D"/>
    <w:rsid w:val="009E2990"/>
    <w:rsid w:val="009E46A5"/>
    <w:rsid w:val="009E60FA"/>
    <w:rsid w:val="009E7DB5"/>
    <w:rsid w:val="009F3CB5"/>
    <w:rsid w:val="009F7CAE"/>
    <w:rsid w:val="00A06211"/>
    <w:rsid w:val="00A31495"/>
    <w:rsid w:val="00A326B5"/>
    <w:rsid w:val="00A34F58"/>
    <w:rsid w:val="00A42156"/>
    <w:rsid w:val="00A43398"/>
    <w:rsid w:val="00A43B21"/>
    <w:rsid w:val="00A47A6C"/>
    <w:rsid w:val="00A566EA"/>
    <w:rsid w:val="00A71A36"/>
    <w:rsid w:val="00A72D27"/>
    <w:rsid w:val="00A73530"/>
    <w:rsid w:val="00A80AB6"/>
    <w:rsid w:val="00A8749F"/>
    <w:rsid w:val="00A97441"/>
    <w:rsid w:val="00AA1505"/>
    <w:rsid w:val="00AA259B"/>
    <w:rsid w:val="00AA52BD"/>
    <w:rsid w:val="00AA768F"/>
    <w:rsid w:val="00AB2655"/>
    <w:rsid w:val="00AB2678"/>
    <w:rsid w:val="00AC523A"/>
    <w:rsid w:val="00AC64B2"/>
    <w:rsid w:val="00AC67AD"/>
    <w:rsid w:val="00AC706C"/>
    <w:rsid w:val="00AC7A4F"/>
    <w:rsid w:val="00AC7E51"/>
    <w:rsid w:val="00AD619F"/>
    <w:rsid w:val="00AE1CDE"/>
    <w:rsid w:val="00AE2F45"/>
    <w:rsid w:val="00AE51E5"/>
    <w:rsid w:val="00AE6AD8"/>
    <w:rsid w:val="00AF0964"/>
    <w:rsid w:val="00AF3D58"/>
    <w:rsid w:val="00B10EE7"/>
    <w:rsid w:val="00B20B3B"/>
    <w:rsid w:val="00B23DA8"/>
    <w:rsid w:val="00B23FE8"/>
    <w:rsid w:val="00B25625"/>
    <w:rsid w:val="00B30D1E"/>
    <w:rsid w:val="00B34A4F"/>
    <w:rsid w:val="00B35E38"/>
    <w:rsid w:val="00B403B9"/>
    <w:rsid w:val="00B41119"/>
    <w:rsid w:val="00B45009"/>
    <w:rsid w:val="00B4541E"/>
    <w:rsid w:val="00B529D3"/>
    <w:rsid w:val="00B52C88"/>
    <w:rsid w:val="00B52D11"/>
    <w:rsid w:val="00B558EE"/>
    <w:rsid w:val="00B5610A"/>
    <w:rsid w:val="00B7243E"/>
    <w:rsid w:val="00B874A0"/>
    <w:rsid w:val="00B9374F"/>
    <w:rsid w:val="00BA0690"/>
    <w:rsid w:val="00BA0FED"/>
    <w:rsid w:val="00BA2559"/>
    <w:rsid w:val="00BA4489"/>
    <w:rsid w:val="00BA5425"/>
    <w:rsid w:val="00BA5523"/>
    <w:rsid w:val="00BB1EB6"/>
    <w:rsid w:val="00BB5ABD"/>
    <w:rsid w:val="00BC0B35"/>
    <w:rsid w:val="00BD104A"/>
    <w:rsid w:val="00BD379A"/>
    <w:rsid w:val="00BD7E62"/>
    <w:rsid w:val="00BE408D"/>
    <w:rsid w:val="00BE4219"/>
    <w:rsid w:val="00BE457D"/>
    <w:rsid w:val="00C02FB6"/>
    <w:rsid w:val="00C06039"/>
    <w:rsid w:val="00C06D8F"/>
    <w:rsid w:val="00C10506"/>
    <w:rsid w:val="00C11677"/>
    <w:rsid w:val="00C16083"/>
    <w:rsid w:val="00C2778E"/>
    <w:rsid w:val="00C30087"/>
    <w:rsid w:val="00C302BC"/>
    <w:rsid w:val="00C31226"/>
    <w:rsid w:val="00C32EC7"/>
    <w:rsid w:val="00C43445"/>
    <w:rsid w:val="00C45B10"/>
    <w:rsid w:val="00C4605A"/>
    <w:rsid w:val="00C46575"/>
    <w:rsid w:val="00C47BB0"/>
    <w:rsid w:val="00C50EA2"/>
    <w:rsid w:val="00C52E5C"/>
    <w:rsid w:val="00C55837"/>
    <w:rsid w:val="00C57C0D"/>
    <w:rsid w:val="00C65213"/>
    <w:rsid w:val="00C70E51"/>
    <w:rsid w:val="00C75B4C"/>
    <w:rsid w:val="00C83BD2"/>
    <w:rsid w:val="00C912C8"/>
    <w:rsid w:val="00CA2ABF"/>
    <w:rsid w:val="00CA585B"/>
    <w:rsid w:val="00CA6C87"/>
    <w:rsid w:val="00CB0A16"/>
    <w:rsid w:val="00CB230F"/>
    <w:rsid w:val="00CB253D"/>
    <w:rsid w:val="00CB3472"/>
    <w:rsid w:val="00CB36F9"/>
    <w:rsid w:val="00CB589C"/>
    <w:rsid w:val="00CB69E1"/>
    <w:rsid w:val="00CC224C"/>
    <w:rsid w:val="00CC5B93"/>
    <w:rsid w:val="00CC669A"/>
    <w:rsid w:val="00CC758F"/>
    <w:rsid w:val="00CC78D6"/>
    <w:rsid w:val="00CD4342"/>
    <w:rsid w:val="00CD48D9"/>
    <w:rsid w:val="00CD5013"/>
    <w:rsid w:val="00CE011E"/>
    <w:rsid w:val="00CE5FE9"/>
    <w:rsid w:val="00CF0E06"/>
    <w:rsid w:val="00CF1BC5"/>
    <w:rsid w:val="00CF5F4A"/>
    <w:rsid w:val="00CF7BD3"/>
    <w:rsid w:val="00D004C2"/>
    <w:rsid w:val="00D0292C"/>
    <w:rsid w:val="00D065BC"/>
    <w:rsid w:val="00D07473"/>
    <w:rsid w:val="00D1315F"/>
    <w:rsid w:val="00D2102D"/>
    <w:rsid w:val="00D24160"/>
    <w:rsid w:val="00D24AB6"/>
    <w:rsid w:val="00D3013B"/>
    <w:rsid w:val="00D332C2"/>
    <w:rsid w:val="00D36014"/>
    <w:rsid w:val="00D47A3A"/>
    <w:rsid w:val="00D503F4"/>
    <w:rsid w:val="00D565A1"/>
    <w:rsid w:val="00D61FE2"/>
    <w:rsid w:val="00D63E8F"/>
    <w:rsid w:val="00D6699C"/>
    <w:rsid w:val="00D70CB6"/>
    <w:rsid w:val="00D717ED"/>
    <w:rsid w:val="00D7256F"/>
    <w:rsid w:val="00D74A61"/>
    <w:rsid w:val="00D760C3"/>
    <w:rsid w:val="00D80AA6"/>
    <w:rsid w:val="00D82C8D"/>
    <w:rsid w:val="00D95F4F"/>
    <w:rsid w:val="00DA0521"/>
    <w:rsid w:val="00DA098E"/>
    <w:rsid w:val="00DA0AAC"/>
    <w:rsid w:val="00DA167D"/>
    <w:rsid w:val="00DA59E3"/>
    <w:rsid w:val="00DA6B31"/>
    <w:rsid w:val="00DB09EC"/>
    <w:rsid w:val="00DB395D"/>
    <w:rsid w:val="00DB41C6"/>
    <w:rsid w:val="00DB7AF6"/>
    <w:rsid w:val="00DB7BF5"/>
    <w:rsid w:val="00DC2209"/>
    <w:rsid w:val="00DC53E1"/>
    <w:rsid w:val="00DC58B3"/>
    <w:rsid w:val="00DC649C"/>
    <w:rsid w:val="00DD3C67"/>
    <w:rsid w:val="00DD3CDD"/>
    <w:rsid w:val="00DD42E4"/>
    <w:rsid w:val="00DD655C"/>
    <w:rsid w:val="00DE06B3"/>
    <w:rsid w:val="00DE15AD"/>
    <w:rsid w:val="00DE31F8"/>
    <w:rsid w:val="00DF14B9"/>
    <w:rsid w:val="00DF3D53"/>
    <w:rsid w:val="00DF432B"/>
    <w:rsid w:val="00DF5598"/>
    <w:rsid w:val="00E01FB0"/>
    <w:rsid w:val="00E036F5"/>
    <w:rsid w:val="00E05F7B"/>
    <w:rsid w:val="00E07FCE"/>
    <w:rsid w:val="00E13C8C"/>
    <w:rsid w:val="00E1666D"/>
    <w:rsid w:val="00E2091B"/>
    <w:rsid w:val="00E25B9E"/>
    <w:rsid w:val="00E32BBF"/>
    <w:rsid w:val="00E33AB8"/>
    <w:rsid w:val="00E35E32"/>
    <w:rsid w:val="00E360D8"/>
    <w:rsid w:val="00E416A7"/>
    <w:rsid w:val="00E41C09"/>
    <w:rsid w:val="00E42A7C"/>
    <w:rsid w:val="00E45676"/>
    <w:rsid w:val="00E456BE"/>
    <w:rsid w:val="00E60567"/>
    <w:rsid w:val="00E73EA4"/>
    <w:rsid w:val="00E76483"/>
    <w:rsid w:val="00E94168"/>
    <w:rsid w:val="00E9418B"/>
    <w:rsid w:val="00E97F96"/>
    <w:rsid w:val="00EA48FA"/>
    <w:rsid w:val="00EB2CA7"/>
    <w:rsid w:val="00EC1F1E"/>
    <w:rsid w:val="00EC769E"/>
    <w:rsid w:val="00ED0B5D"/>
    <w:rsid w:val="00ED3F39"/>
    <w:rsid w:val="00ED538E"/>
    <w:rsid w:val="00ED7976"/>
    <w:rsid w:val="00ED7F0F"/>
    <w:rsid w:val="00EE0598"/>
    <w:rsid w:val="00EF3397"/>
    <w:rsid w:val="00EF6C3D"/>
    <w:rsid w:val="00F02147"/>
    <w:rsid w:val="00F112B3"/>
    <w:rsid w:val="00F13EC0"/>
    <w:rsid w:val="00F2795A"/>
    <w:rsid w:val="00F36152"/>
    <w:rsid w:val="00F40EDF"/>
    <w:rsid w:val="00F64925"/>
    <w:rsid w:val="00F65D34"/>
    <w:rsid w:val="00F760AC"/>
    <w:rsid w:val="00F81297"/>
    <w:rsid w:val="00F8200E"/>
    <w:rsid w:val="00F822BE"/>
    <w:rsid w:val="00F823B6"/>
    <w:rsid w:val="00F91BF4"/>
    <w:rsid w:val="00F93D7F"/>
    <w:rsid w:val="00F9407C"/>
    <w:rsid w:val="00F95EAD"/>
    <w:rsid w:val="00F9733D"/>
    <w:rsid w:val="00FA4715"/>
    <w:rsid w:val="00FB0396"/>
    <w:rsid w:val="00FC1814"/>
    <w:rsid w:val="00FD523C"/>
    <w:rsid w:val="00FD6E1F"/>
    <w:rsid w:val="00FD7012"/>
    <w:rsid w:val="00FE5F47"/>
    <w:rsid w:val="00FF546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8F40"/>
  <w15:chartTrackingRefBased/>
  <w15:docId w15:val="{A2090EC8-A800-494C-9912-F681C6D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5625"/>
    <w:pPr>
      <w:keepNext/>
      <w:keepLines/>
      <w:spacing w:before="240" w:after="0" w:line="240" w:lineRule="auto"/>
      <w:ind w:left="720" w:right="720"/>
      <w:outlineLvl w:val="0"/>
    </w:pPr>
    <w:rPr>
      <w:rFonts w:asciiTheme="majorHAnsi" w:eastAsiaTheme="majorEastAsia" w:hAnsiTheme="majorHAnsi" w:cstheme="majorBidi"/>
      <w:kern w:val="2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625"/>
    <w:rPr>
      <w:rFonts w:asciiTheme="majorHAnsi" w:eastAsiaTheme="majorEastAsia" w:hAnsiTheme="majorHAnsi" w:cstheme="majorBidi"/>
      <w:kern w:val="20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C46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1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3D"/>
  </w:style>
  <w:style w:type="paragraph" w:styleId="Footer">
    <w:name w:val="footer"/>
    <w:basedOn w:val="Normal"/>
    <w:link w:val="FooterChar"/>
    <w:uiPriority w:val="99"/>
    <w:unhideWhenUsed/>
    <w:rsid w:val="00EF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3D"/>
  </w:style>
  <w:style w:type="character" w:styleId="FollowedHyperlink">
    <w:name w:val="FollowedHyperlink"/>
    <w:basedOn w:val="DefaultParagraphFont"/>
    <w:uiPriority w:val="99"/>
    <w:semiHidden/>
    <w:unhideWhenUsed/>
    <w:rsid w:val="001E22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5F"/>
    <w:rPr>
      <w:rFonts w:ascii="Segoe UI" w:hAnsi="Segoe UI" w:cs="Segoe UI"/>
      <w:sz w:val="18"/>
      <w:szCs w:val="18"/>
    </w:rPr>
  </w:style>
  <w:style w:type="character" w:customStyle="1" w:styleId="block-inner">
    <w:name w:val="block-inner"/>
    <w:basedOn w:val="DefaultParagraphFont"/>
    <w:rsid w:val="00555752"/>
  </w:style>
  <w:style w:type="paragraph" w:customStyle="1" w:styleId="block">
    <w:name w:val="block"/>
    <w:basedOn w:val="Normal"/>
    <w:rsid w:val="0055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velte-fugjkr">
    <w:name w:val="svelte-fugjkr"/>
    <w:basedOn w:val="DefaultParagraphFont"/>
    <w:rsid w:val="00555752"/>
  </w:style>
  <w:style w:type="character" w:customStyle="1" w:styleId="Heading2Char">
    <w:name w:val="Heading 2 Char"/>
    <w:basedOn w:val="DefaultParagraphFont"/>
    <w:link w:val="Heading2"/>
    <w:uiPriority w:val="9"/>
    <w:rsid w:val="009E0A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7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4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4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1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allup.com/poll/312641/nine-concerned-rising-drug-costs-due-covid.aspx" TargetMode="External"/><Relationship Id="rId13" Type="http://schemas.openxmlformats.org/officeDocument/2006/relationships/hyperlink" Target="https://www.ssrhealth.com/dataset/" TargetMode="External"/><Relationship Id="rId18" Type="http://schemas.openxmlformats.org/officeDocument/2006/relationships/hyperlink" Target="https://www.goodrx.com/blog/how-much-does-insulin-cost-compare-brand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ugs.com/medical-answers/imbruvica-cost-353912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dbhealth.com/applications/drug-pricing-analysis" TargetMode="External"/><Relationship Id="rId17" Type="http://schemas.openxmlformats.org/officeDocument/2006/relationships/hyperlink" Target="https://www.enbrel.com/support/financial-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article/us-abbvie-fda-idUSKCN1V61MJ" TargetMode="External"/><Relationship Id="rId20" Type="http://schemas.openxmlformats.org/officeDocument/2006/relationships/hyperlink" Target="https://www.drugs.com/medical-answers/ibrance-cost-35395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lterskluwercdi.com/price-rx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a.gov/opal/nac/fss/pharmPrices.as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drx.com/blog/drug-prices-growing-faster-than-commodities-and-services/" TargetMode="External"/><Relationship Id="rId19" Type="http://schemas.openxmlformats.org/officeDocument/2006/relationships/hyperlink" Target="https://www.healthline.com/health-news/ms-why-are-ms-drug-prices-so-high-071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ientsforaffordabledrugs.org/2021/01/14/2021-price-hikes-pr/" TargetMode="External"/><Relationship Id="rId14" Type="http://schemas.openxmlformats.org/officeDocument/2006/relationships/hyperlink" Target="https://www.va.gov/oalc/foia/library.asp" TargetMode="External"/><Relationship Id="rId22" Type="http://schemas.openxmlformats.org/officeDocument/2006/relationships/hyperlink" Target="https://www.goodrx.com/blog/most-expensive-drugs-peri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E17D-798E-4405-A27B-9509BFD1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 Horvath</cp:lastModifiedBy>
  <cp:revision>2</cp:revision>
  <cp:lastPrinted>2020-08-25T18:04:00Z</cp:lastPrinted>
  <dcterms:created xsi:type="dcterms:W3CDTF">2021-07-13T18:07:00Z</dcterms:created>
  <dcterms:modified xsi:type="dcterms:W3CDTF">2021-07-13T18:07:00Z</dcterms:modified>
</cp:coreProperties>
</file>