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3207" w14:textId="29413066" w:rsidR="008F115D" w:rsidRDefault="008F115D" w:rsidP="00527C62">
      <w:pPr>
        <w:pStyle w:val="Heading1"/>
        <w:spacing w:before="0" w:line="240" w:lineRule="auto"/>
        <w:jc w:val="center"/>
        <w:rPr>
          <w:bCs/>
        </w:rPr>
      </w:pPr>
      <w:r>
        <w:rPr>
          <w:bCs/>
        </w:rPr>
        <w:t>Testimony of Jane Horvath</w:t>
      </w:r>
    </w:p>
    <w:p w14:paraId="44EA7BAA" w14:textId="55A706BA" w:rsidR="00527C62" w:rsidRPr="00527C62" w:rsidRDefault="00527C62" w:rsidP="00527C62">
      <w:pPr>
        <w:pStyle w:val="Heading1"/>
        <w:spacing w:before="0" w:line="240" w:lineRule="auto"/>
        <w:jc w:val="center"/>
      </w:pPr>
      <w:r>
        <w:t>Before the Oregon Senate Committee on Healthcare</w:t>
      </w:r>
    </w:p>
    <w:p w14:paraId="5357E8EF" w14:textId="77777777" w:rsidR="00527C62" w:rsidRDefault="00430485" w:rsidP="00527C62">
      <w:pPr>
        <w:pStyle w:val="Heading1"/>
        <w:spacing w:before="0" w:after="240"/>
        <w:jc w:val="center"/>
        <w:rPr>
          <w:bCs/>
        </w:rPr>
      </w:pPr>
      <w:r w:rsidRPr="00715BC2">
        <w:rPr>
          <w:bCs/>
          <w:noProof/>
          <w:color w:val="595959" w:themeColor="text1" w:themeTint="A6"/>
          <w:kern w:val="20"/>
          <w:sz w:val="24"/>
          <w:szCs w:val="20"/>
          <w:highlight w:val="yellow"/>
        </w:rPr>
        <mc:AlternateContent>
          <mc:Choice Requires="wps">
            <w:drawing>
              <wp:anchor distT="45720" distB="45720" distL="114300" distR="114300" simplePos="0" relativeHeight="251659264" behindDoc="0" locked="0" layoutInCell="1" allowOverlap="1" wp14:anchorId="24B837BC" wp14:editId="20F34059">
                <wp:simplePos x="0" y="0"/>
                <wp:positionH relativeFrom="column">
                  <wp:posOffset>0</wp:posOffset>
                </wp:positionH>
                <wp:positionV relativeFrom="page">
                  <wp:posOffset>330932</wp:posOffset>
                </wp:positionV>
                <wp:extent cx="59626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49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solidFill>
                            <a:srgbClr val="000000"/>
                          </a:solidFill>
                          <a:miter lim="800000"/>
                          <a:headEnd/>
                          <a:tailEnd/>
                        </a:ln>
                      </wps:spPr>
                      <wps:txbx>
                        <w:txbxContent>
                          <w:p w14:paraId="431B3792" w14:textId="77777777" w:rsidR="00217242" w:rsidRPr="004449BF" w:rsidRDefault="00217242" w:rsidP="00430485">
                            <w:pPr>
                              <w:spacing w:after="0"/>
                              <w:jc w:val="center"/>
                              <w:rPr>
                                <w:rFonts w:ascii="Georgia" w:hAnsi="Georgia"/>
                                <w:sz w:val="36"/>
                                <w:szCs w:val="36"/>
                              </w:rPr>
                            </w:pPr>
                            <w:r w:rsidRPr="004449BF">
                              <w:rPr>
                                <w:rFonts w:ascii="Georgia" w:hAnsi="Georgia"/>
                                <w:sz w:val="36"/>
                                <w:szCs w:val="36"/>
                              </w:rPr>
                              <w:t>Horvath Health Policy</w:t>
                            </w:r>
                          </w:p>
                          <w:p w14:paraId="062FBAD4" w14:textId="77777777" w:rsidR="00217242" w:rsidRDefault="00217242" w:rsidP="00430485">
                            <w:pPr>
                              <w:spacing w:after="0"/>
                              <w:jc w:val="center"/>
                              <w:rPr>
                                <w:rFonts w:ascii="Georgia Pro Cond" w:hAnsi="Georgia Pro Cond"/>
                                <w:sz w:val="32"/>
                                <w:szCs w:val="32"/>
                              </w:rPr>
                            </w:pPr>
                            <w:r w:rsidRPr="004449BF">
                              <w:rPr>
                                <w:rFonts w:ascii="Georgia Pro Cond" w:hAnsi="Georgia Pro Cond"/>
                                <w:i/>
                                <w:sz w:val="32"/>
                                <w:szCs w:val="32"/>
                              </w:rPr>
                              <w:t>Innovations in Healthcare Financing Policy</w:t>
                            </w:r>
                          </w:p>
                          <w:p w14:paraId="701F01DF" w14:textId="77777777" w:rsidR="00217242" w:rsidRDefault="00217242" w:rsidP="00430485">
                            <w:pPr>
                              <w:spacing w:after="0"/>
                              <w:rPr>
                                <w:rFonts w:ascii="Georgia Pro Cond" w:hAnsi="Georgia Pro Cond"/>
                                <w:sz w:val="32"/>
                                <w:szCs w:val="32"/>
                              </w:rPr>
                            </w:pPr>
                          </w:p>
                          <w:p w14:paraId="7097C451" w14:textId="77777777" w:rsidR="00217242" w:rsidRDefault="00217242" w:rsidP="00430485">
                            <w:pPr>
                              <w:spacing w:after="0"/>
                              <w:ind w:firstLine="720"/>
                              <w:jc w:val="center"/>
                              <w:rPr>
                                <w:rFonts w:ascii="Georgia" w:hAnsi="Georgia"/>
                                <w:szCs w:val="24"/>
                              </w:rPr>
                            </w:pPr>
                            <w:r w:rsidRPr="004449BF">
                              <w:rPr>
                                <w:rFonts w:ascii="Georgia" w:hAnsi="Georgia"/>
                                <w:szCs w:val="24"/>
                              </w:rPr>
                              <w:t>PO Box 196, College Park, MD 20741</w:t>
                            </w:r>
                            <w:r w:rsidRPr="004449BF">
                              <w:rPr>
                                <w:rFonts w:ascii="Georgia" w:hAnsi="Georgia"/>
                                <w:szCs w:val="24"/>
                              </w:rPr>
                              <w:tab/>
                              <w:t>202/465-5836</w:t>
                            </w:r>
                          </w:p>
                          <w:p w14:paraId="09533E75" w14:textId="77777777" w:rsidR="00217242" w:rsidRDefault="00217242" w:rsidP="00430485">
                            <w:pPr>
                              <w:spacing w:after="0"/>
                              <w:ind w:firstLine="720"/>
                              <w:jc w:val="center"/>
                              <w:rPr>
                                <w:rFonts w:ascii="Georgia" w:hAnsi="Georgia"/>
                                <w:szCs w:val="24"/>
                              </w:rPr>
                            </w:pPr>
                            <w:r>
                              <w:rPr>
                                <w:rFonts w:ascii="Georgia" w:hAnsi="Georgia"/>
                                <w:szCs w:val="24"/>
                              </w:rPr>
                              <w:t>horvathhealthpolicy@gmail.com</w:t>
                            </w:r>
                          </w:p>
                          <w:p w14:paraId="598FB8B0" w14:textId="77777777" w:rsidR="00217242" w:rsidRPr="004449BF" w:rsidRDefault="00217242" w:rsidP="00430485">
                            <w:pPr>
                              <w:spacing w:after="0"/>
                              <w:rPr>
                                <w:rFonts w:ascii="Georgia" w:hAnsi="Georgia"/>
                                <w:szCs w:val="24"/>
                              </w:rPr>
                            </w:pPr>
                          </w:p>
                          <w:p w14:paraId="79AD1BE3" w14:textId="77777777" w:rsidR="00217242" w:rsidRPr="004449BF" w:rsidRDefault="00217242" w:rsidP="00430485">
                            <w:pPr>
                              <w:spacing w:after="0"/>
                              <w:rPr>
                                <w:rFonts w:ascii="Georgia Pro Cond" w:hAnsi="Georgia Pro Con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837BC" id="_x0000_t202" coordsize="21600,21600" o:spt="202" path="m,l,21600r21600,l21600,xe">
                <v:stroke joinstyle="miter"/>
                <v:path gradientshapeok="t" o:connecttype="rect"/>
              </v:shapetype>
              <v:shape id="Text Box 2" o:spid="_x0000_s1026" type="#_x0000_t202" style="position:absolute;left:0;text-align:left;margin-left:0;margin-top:26.05pt;width:469.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" fillcolor="#f6f8fc">
                <v:fill color2="#c7d5ed" rotate="t" colors="0 #f6f8fc;48497f #abc0e4;54395f #abc0e4;1 #c7d5ed" focus="100%" type="gradient"/>
                <v:textbox>
                  <w:txbxContent>
                    <w:p w14:paraId="431B3792" w14:textId="77777777" w:rsidR="00217242" w:rsidRPr="004449BF" w:rsidRDefault="00217242" w:rsidP="00430485">
                      <w:pPr>
                        <w:spacing w:after="0"/>
                        <w:jc w:val="center"/>
                        <w:rPr>
                          <w:rFonts w:ascii="Georgia" w:hAnsi="Georgia"/>
                          <w:sz w:val="36"/>
                          <w:szCs w:val="36"/>
                        </w:rPr>
                      </w:pPr>
                      <w:r w:rsidRPr="004449BF">
                        <w:rPr>
                          <w:rFonts w:ascii="Georgia" w:hAnsi="Georgia"/>
                          <w:sz w:val="36"/>
                          <w:szCs w:val="36"/>
                        </w:rPr>
                        <w:t>Horvath Health Policy</w:t>
                      </w:r>
                    </w:p>
                    <w:p w14:paraId="062FBAD4" w14:textId="77777777" w:rsidR="00217242" w:rsidRDefault="00217242" w:rsidP="00430485">
                      <w:pPr>
                        <w:spacing w:after="0"/>
                        <w:jc w:val="center"/>
                        <w:rPr>
                          <w:rFonts w:ascii="Georgia Pro Cond" w:hAnsi="Georgia Pro Cond"/>
                          <w:sz w:val="32"/>
                          <w:szCs w:val="32"/>
                        </w:rPr>
                      </w:pPr>
                      <w:r w:rsidRPr="004449BF">
                        <w:rPr>
                          <w:rFonts w:ascii="Georgia Pro Cond" w:hAnsi="Georgia Pro Cond"/>
                          <w:i/>
                          <w:sz w:val="32"/>
                          <w:szCs w:val="32"/>
                        </w:rPr>
                        <w:t>Innovations in Healthcare Financing Policy</w:t>
                      </w:r>
                    </w:p>
                    <w:p w14:paraId="701F01DF" w14:textId="77777777" w:rsidR="00217242" w:rsidRDefault="00217242" w:rsidP="00430485">
                      <w:pPr>
                        <w:spacing w:after="0"/>
                        <w:rPr>
                          <w:rFonts w:ascii="Georgia Pro Cond" w:hAnsi="Georgia Pro Cond"/>
                          <w:sz w:val="32"/>
                          <w:szCs w:val="32"/>
                        </w:rPr>
                      </w:pPr>
                    </w:p>
                    <w:p w14:paraId="7097C451" w14:textId="77777777" w:rsidR="00217242" w:rsidRDefault="00217242" w:rsidP="00430485">
                      <w:pPr>
                        <w:spacing w:after="0"/>
                        <w:ind w:firstLine="720"/>
                        <w:jc w:val="center"/>
                        <w:rPr>
                          <w:rFonts w:ascii="Georgia" w:hAnsi="Georgia"/>
                          <w:szCs w:val="24"/>
                        </w:rPr>
                      </w:pPr>
                      <w:r w:rsidRPr="004449BF">
                        <w:rPr>
                          <w:rFonts w:ascii="Georgia" w:hAnsi="Georgia"/>
                          <w:szCs w:val="24"/>
                        </w:rPr>
                        <w:t>PO Box 196, College Park, MD 20741</w:t>
                      </w:r>
                      <w:r w:rsidRPr="004449BF">
                        <w:rPr>
                          <w:rFonts w:ascii="Georgia" w:hAnsi="Georgia"/>
                          <w:szCs w:val="24"/>
                        </w:rPr>
                        <w:tab/>
                        <w:t>202/465-5836</w:t>
                      </w:r>
                    </w:p>
                    <w:p w14:paraId="09533E75" w14:textId="77777777" w:rsidR="00217242" w:rsidRDefault="00217242" w:rsidP="00430485">
                      <w:pPr>
                        <w:spacing w:after="0"/>
                        <w:ind w:firstLine="720"/>
                        <w:jc w:val="center"/>
                        <w:rPr>
                          <w:rFonts w:ascii="Georgia" w:hAnsi="Georgia"/>
                          <w:szCs w:val="24"/>
                        </w:rPr>
                      </w:pPr>
                      <w:r>
                        <w:rPr>
                          <w:rFonts w:ascii="Georgia" w:hAnsi="Georgia"/>
                          <w:szCs w:val="24"/>
                        </w:rPr>
                        <w:t>horvathhealthpolicy@gmail.com</w:t>
                      </w:r>
                    </w:p>
                    <w:p w14:paraId="598FB8B0" w14:textId="77777777" w:rsidR="00217242" w:rsidRPr="004449BF" w:rsidRDefault="00217242" w:rsidP="00430485">
                      <w:pPr>
                        <w:spacing w:after="0"/>
                        <w:rPr>
                          <w:rFonts w:ascii="Georgia" w:hAnsi="Georgia"/>
                          <w:szCs w:val="24"/>
                        </w:rPr>
                      </w:pPr>
                    </w:p>
                    <w:p w14:paraId="79AD1BE3" w14:textId="77777777" w:rsidR="00217242" w:rsidRPr="004449BF" w:rsidRDefault="00217242" w:rsidP="00430485">
                      <w:pPr>
                        <w:spacing w:after="0"/>
                        <w:rPr>
                          <w:rFonts w:ascii="Georgia Pro Cond" w:hAnsi="Georgia Pro Cond"/>
                          <w:sz w:val="32"/>
                          <w:szCs w:val="32"/>
                        </w:rPr>
                      </w:pPr>
                    </w:p>
                  </w:txbxContent>
                </v:textbox>
                <w10:wrap type="square" anchory="page"/>
              </v:shape>
            </w:pict>
          </mc:Fallback>
        </mc:AlternateContent>
      </w:r>
      <w:r w:rsidR="0033012E">
        <w:rPr>
          <w:bCs/>
        </w:rPr>
        <w:t>Prescription Drug Market Dynamics</w:t>
      </w:r>
      <w:r w:rsidR="00BE5990">
        <w:rPr>
          <w:bCs/>
        </w:rPr>
        <w:t xml:space="preserve"> </w:t>
      </w:r>
      <w:r w:rsidR="00884CF9">
        <w:rPr>
          <w:bCs/>
        </w:rPr>
        <w:t>and the Need for Public Policy</w:t>
      </w:r>
    </w:p>
    <w:p w14:paraId="598F82F1" w14:textId="6CABF789" w:rsidR="00884CF9" w:rsidRPr="00AD03CE" w:rsidRDefault="00527C62" w:rsidP="00527C62">
      <w:pPr>
        <w:pStyle w:val="Heading1"/>
        <w:spacing w:after="240"/>
        <w:jc w:val="center"/>
      </w:pPr>
      <w:r>
        <w:t>M</w:t>
      </w:r>
      <w:r w:rsidR="00884CF9" w:rsidRPr="00AD03CE">
        <w:t>arch 22</w:t>
      </w:r>
      <w:r w:rsidR="008F115D" w:rsidRPr="00AD03CE">
        <w:t>, 2021</w:t>
      </w:r>
    </w:p>
    <w:p w14:paraId="59549336" w14:textId="0037CE49" w:rsidR="009821F8" w:rsidRDefault="00884DBA">
      <w:r>
        <w:t>Thank you</w:t>
      </w:r>
      <w:r w:rsidR="009574EF">
        <w:t>,</w:t>
      </w:r>
      <w:r>
        <w:t xml:space="preserve"> </w:t>
      </w:r>
      <w:r w:rsidR="00145293">
        <w:t xml:space="preserve">Madam Chair and </w:t>
      </w:r>
      <w:r w:rsidR="009574EF">
        <w:t xml:space="preserve">Members of the Committee </w:t>
      </w:r>
      <w:r>
        <w:t xml:space="preserve">for the </w:t>
      </w:r>
      <w:r w:rsidR="007136D6">
        <w:t xml:space="preserve">opportunity to </w:t>
      </w:r>
      <w:r w:rsidR="00E37B10">
        <w:t xml:space="preserve">testify on prescription drug cost containment policy. </w:t>
      </w:r>
      <w:r w:rsidR="005018BB">
        <w:t xml:space="preserve">This is such an important and complex </w:t>
      </w:r>
      <w:r w:rsidR="00525C8D">
        <w:t>issue</w:t>
      </w:r>
      <w:r w:rsidR="00616ED6">
        <w:t xml:space="preserve"> that touches almost everyone</w:t>
      </w:r>
      <w:r w:rsidR="00603978">
        <w:t xml:space="preserve">. </w:t>
      </w:r>
      <w:r w:rsidR="0031656A">
        <w:t>We all need to understand more about the pharmaceutical marketplace</w:t>
      </w:r>
      <w:r w:rsidR="00616ED6">
        <w:t xml:space="preserve"> </w:t>
      </w:r>
      <w:r w:rsidR="008E2E6B">
        <w:t>to</w:t>
      </w:r>
      <w:r w:rsidR="00616ED6">
        <w:t xml:space="preserve"> think about what </w:t>
      </w:r>
      <w:r w:rsidR="00B146A5">
        <w:t xml:space="preserve">the potential </w:t>
      </w:r>
      <w:r w:rsidR="007C0369">
        <w:t xml:space="preserve">state-level policy </w:t>
      </w:r>
      <w:r w:rsidR="001559AE">
        <w:t>approaches</w:t>
      </w:r>
      <w:r w:rsidR="007C0369">
        <w:t xml:space="preserve"> could be. </w:t>
      </w:r>
      <w:r w:rsidR="003D11C2">
        <w:t xml:space="preserve">  </w:t>
      </w:r>
    </w:p>
    <w:p w14:paraId="73EDDC44" w14:textId="2950B342" w:rsidR="00F7434D" w:rsidRDefault="003D11C2">
      <w:r>
        <w:t>There is a need for strong public policy to address the increasingly critical situation we face today</w:t>
      </w:r>
      <w:r w:rsidR="002C31B1">
        <w:t xml:space="preserve">.  Oregon </w:t>
      </w:r>
      <w:r w:rsidR="00A142F7">
        <w:t>Senate bill 844 is a strong public policy approach</w:t>
      </w:r>
      <w:r w:rsidR="002C31B1">
        <w:t xml:space="preserve"> with practical effects that will benefit </w:t>
      </w:r>
      <w:r w:rsidR="007B79C8">
        <w:t xml:space="preserve">individual </w:t>
      </w:r>
      <w:r w:rsidR="002C31B1">
        <w:t>consumers</w:t>
      </w:r>
      <w:r w:rsidR="00A142F7">
        <w:t xml:space="preserve">.  </w:t>
      </w:r>
      <w:r w:rsidR="00E61DBA">
        <w:t xml:space="preserve">A prescription drug affordability board with authority to establish statewide upper payment limits is one of the very few ways </w:t>
      </w:r>
      <w:r w:rsidR="00183837">
        <w:t>to accomplish three critical aspect</w:t>
      </w:r>
      <w:r w:rsidR="007F7EBE">
        <w:t>s</w:t>
      </w:r>
      <w:r w:rsidR="00183837">
        <w:t xml:space="preserve"> to lowering drug costs for consumers</w:t>
      </w:r>
      <w:r w:rsidR="007F7EBE">
        <w:t>:</w:t>
      </w:r>
    </w:p>
    <w:p w14:paraId="76415029" w14:textId="33A64CFE" w:rsidR="007F7EBE" w:rsidRDefault="007F7EBE" w:rsidP="008F39FA">
      <w:pPr>
        <w:pStyle w:val="ListParagraph"/>
        <w:numPr>
          <w:ilvl w:val="0"/>
          <w:numId w:val="27"/>
        </w:numPr>
      </w:pPr>
      <w:r>
        <w:t xml:space="preserve">Create cost transparency and cost </w:t>
      </w:r>
      <w:r w:rsidR="004B6F09">
        <w:t>certainty.</w:t>
      </w:r>
    </w:p>
    <w:p w14:paraId="73157CCD" w14:textId="3F4E5545" w:rsidR="007F7EBE" w:rsidRDefault="0023788A" w:rsidP="008F39FA">
      <w:pPr>
        <w:pStyle w:val="ListParagraph"/>
        <w:numPr>
          <w:ilvl w:val="0"/>
          <w:numId w:val="27"/>
        </w:numPr>
      </w:pPr>
      <w:r>
        <w:t xml:space="preserve">Move the lower costs through the supply chain to the </w:t>
      </w:r>
      <w:r w:rsidR="007B79C8">
        <w:t xml:space="preserve">consumer at the </w:t>
      </w:r>
      <w:r>
        <w:t xml:space="preserve">point of </w:t>
      </w:r>
      <w:r w:rsidR="004B6F09">
        <w:t>service.</w:t>
      </w:r>
      <w:r w:rsidR="00311BF9">
        <w:t xml:space="preserve"> </w:t>
      </w:r>
    </w:p>
    <w:p w14:paraId="77B29B36" w14:textId="47892419" w:rsidR="007F7EBE" w:rsidRDefault="008F39FA" w:rsidP="008F39FA">
      <w:pPr>
        <w:pStyle w:val="ListParagraph"/>
        <w:numPr>
          <w:ilvl w:val="0"/>
          <w:numId w:val="27"/>
        </w:numPr>
      </w:pPr>
      <w:r>
        <w:t xml:space="preserve">Reduce the need for rebates for drugs with a </w:t>
      </w:r>
      <w:r w:rsidR="004B6F09">
        <w:t>UPL.</w:t>
      </w:r>
    </w:p>
    <w:p w14:paraId="4E53C417" w14:textId="6371171B" w:rsidR="00C34FD6" w:rsidRDefault="00884DBA">
      <w:r>
        <w:t xml:space="preserve">By way of background, </w:t>
      </w:r>
      <w:r w:rsidR="00C34FD6">
        <w:t>I have worked with states</w:t>
      </w:r>
      <w:r w:rsidR="00C64919">
        <w:t xml:space="preserve"> </w:t>
      </w:r>
      <w:r w:rsidR="00A94FA4">
        <w:t>on</w:t>
      </w:r>
      <w:r w:rsidR="00C64919">
        <w:t xml:space="preserve"> prescription drug costs</w:t>
      </w:r>
      <w:r w:rsidR="00C34FD6">
        <w:t xml:space="preserve"> for many years</w:t>
      </w:r>
      <w:r w:rsidR="005763A2">
        <w:t xml:space="preserve">. </w:t>
      </w:r>
      <w:r w:rsidR="00C34FD6">
        <w:t xml:space="preserve">I represented the Medicaid Directors </w:t>
      </w:r>
      <w:r w:rsidR="00C64919">
        <w:t xml:space="preserve">when the </w:t>
      </w:r>
      <w:r w:rsidR="00121A03">
        <w:t xml:space="preserve">Medicaid </w:t>
      </w:r>
      <w:r w:rsidR="00C64919">
        <w:t>rebate program was created</w:t>
      </w:r>
      <w:r w:rsidR="00856E1E">
        <w:t xml:space="preserve">.  </w:t>
      </w:r>
      <w:r w:rsidR="00C34FD6">
        <w:t>I have work</w:t>
      </w:r>
      <w:r w:rsidR="00856E1E">
        <w:t>ed</w:t>
      </w:r>
      <w:r w:rsidR="00C34FD6">
        <w:t xml:space="preserve"> </w:t>
      </w:r>
      <w:r w:rsidR="003D2589">
        <w:t xml:space="preserve">as a consultant to </w:t>
      </w:r>
      <w:r w:rsidR="0012379D">
        <w:t xml:space="preserve">many </w:t>
      </w:r>
      <w:r w:rsidR="00C34FD6">
        <w:t xml:space="preserve">state </w:t>
      </w:r>
      <w:r w:rsidR="002F1327">
        <w:t xml:space="preserve">policymakers </w:t>
      </w:r>
      <w:r w:rsidR="00C34FD6">
        <w:t>since 2016 on prescription drug policy</w:t>
      </w:r>
      <w:r w:rsidR="0094471E">
        <w:t xml:space="preserve">, with the support of </w:t>
      </w:r>
      <w:r w:rsidR="00E72145">
        <w:t>non-profit foundations</w:t>
      </w:r>
      <w:r w:rsidR="005763A2">
        <w:t xml:space="preserve">. </w:t>
      </w:r>
      <w:r w:rsidR="0035231D">
        <w:t xml:space="preserve">I </w:t>
      </w:r>
      <w:r w:rsidR="002F1327">
        <w:t xml:space="preserve">also </w:t>
      </w:r>
      <w:r w:rsidR="0035231D">
        <w:t>spent over ten years working in the pharmaceutical industry</w:t>
      </w:r>
      <w:r w:rsidR="009C194E">
        <w:t>.</w:t>
      </w:r>
      <w:r w:rsidR="00C43705">
        <w:t xml:space="preserve"> </w:t>
      </w:r>
      <w:r w:rsidR="00A94FA4">
        <w:t>I</w:t>
      </w:r>
      <w:r w:rsidR="0035231D">
        <w:t xml:space="preserve"> have deep respect for the work of the pharmaceutical industr</w:t>
      </w:r>
      <w:r w:rsidR="00E93783">
        <w:t xml:space="preserve">y, </w:t>
      </w:r>
      <w:r w:rsidR="00C43705">
        <w:t xml:space="preserve">but </w:t>
      </w:r>
      <w:r w:rsidR="00E93783">
        <w:t>t</w:t>
      </w:r>
      <w:r w:rsidR="0035231D">
        <w:t xml:space="preserve">he </w:t>
      </w:r>
      <w:r w:rsidR="00E93783">
        <w:t xml:space="preserve">business </w:t>
      </w:r>
      <w:r w:rsidR="0035231D">
        <w:t xml:space="preserve">model is </w:t>
      </w:r>
      <w:r w:rsidR="00BD74FB">
        <w:t>broken,</w:t>
      </w:r>
      <w:r w:rsidR="0035231D">
        <w:t xml:space="preserve"> and </w:t>
      </w:r>
      <w:r w:rsidR="00655487">
        <w:t>I do not see a path forward other than p</w:t>
      </w:r>
      <w:r w:rsidR="0035231D">
        <w:t xml:space="preserve">ublic policy </w:t>
      </w:r>
      <w:r w:rsidR="00655487">
        <w:t>to address the problems</w:t>
      </w:r>
      <w:r w:rsidR="0035231D">
        <w:t xml:space="preserve">. </w:t>
      </w:r>
    </w:p>
    <w:p w14:paraId="1EAEAD9D" w14:textId="2937E495" w:rsidR="00213335" w:rsidRDefault="006F28E7">
      <w:r>
        <w:t xml:space="preserve">We all know many facts and figures concerning drug </w:t>
      </w:r>
      <w:r w:rsidR="0035231D">
        <w:t>costs</w:t>
      </w:r>
      <w:r w:rsidR="005763A2">
        <w:t xml:space="preserve">. </w:t>
      </w:r>
      <w:r>
        <w:t xml:space="preserve">I want to </w:t>
      </w:r>
      <w:r w:rsidR="009A6544">
        <w:t xml:space="preserve">start </w:t>
      </w:r>
      <w:r w:rsidR="00A655DF">
        <w:t xml:space="preserve">with </w:t>
      </w:r>
      <w:r w:rsidR="00213335">
        <w:t xml:space="preserve">three </w:t>
      </w:r>
      <w:r>
        <w:t>facts today</w:t>
      </w:r>
      <w:r w:rsidR="00213335">
        <w:t xml:space="preserve"> that can help properly size the issue of high drug costs</w:t>
      </w:r>
      <w:r w:rsidR="005763A2">
        <w:t xml:space="preserve">. </w:t>
      </w:r>
    </w:p>
    <w:p w14:paraId="4DA34B3C" w14:textId="597F493D" w:rsidR="0035231D" w:rsidRDefault="006F28E7" w:rsidP="0035231D">
      <w:pPr>
        <w:pStyle w:val="ListParagraph"/>
        <w:numPr>
          <w:ilvl w:val="0"/>
          <w:numId w:val="3"/>
        </w:numPr>
      </w:pPr>
      <w:bookmarkStart w:id="0" w:name="_Hlk30407414"/>
      <w:r>
        <w:t xml:space="preserve">The pharmaceutical industry </w:t>
      </w:r>
      <w:r w:rsidR="00655487">
        <w:t xml:space="preserve">cites that </w:t>
      </w:r>
      <w:r w:rsidR="0035231D">
        <w:t>presc</w:t>
      </w:r>
      <w:r>
        <w:t xml:space="preserve">ription drugs are ten percent of </w:t>
      </w:r>
      <w:r w:rsidR="0035231D">
        <w:t xml:space="preserve">total </w:t>
      </w:r>
      <w:r>
        <w:t>national health care spending</w:t>
      </w:r>
      <w:r w:rsidR="005763A2">
        <w:t xml:space="preserve">. </w:t>
      </w:r>
      <w:r w:rsidR="00655487">
        <w:t xml:space="preserve">Importantly, </w:t>
      </w:r>
      <w:r w:rsidR="0035231D">
        <w:t xml:space="preserve">the </w:t>
      </w:r>
      <w:hyperlink r:id="rId8" w:history="1">
        <w:r w:rsidR="0035231D" w:rsidRPr="0023197A">
          <w:rPr>
            <w:rStyle w:val="Hyperlink"/>
          </w:rPr>
          <w:t xml:space="preserve">federal </w:t>
        </w:r>
        <w:r w:rsidR="00655487" w:rsidRPr="0023197A">
          <w:rPr>
            <w:rStyle w:val="Hyperlink"/>
          </w:rPr>
          <w:t>analysis</w:t>
        </w:r>
      </w:hyperlink>
      <w:r w:rsidR="00655487">
        <w:t xml:space="preserve"> </w:t>
      </w:r>
      <w:r w:rsidR="0035231D">
        <w:t>that generates th</w:t>
      </w:r>
      <w:r w:rsidR="00655487">
        <w:t>e</w:t>
      </w:r>
      <w:r w:rsidR="0035231D">
        <w:t xml:space="preserve"> </w:t>
      </w:r>
      <w:r w:rsidR="00655487">
        <w:t xml:space="preserve">ten percent </w:t>
      </w:r>
      <w:r w:rsidR="0035231D">
        <w:t xml:space="preserve">data point includes </w:t>
      </w:r>
      <w:r w:rsidR="00213335" w:rsidRPr="00655487">
        <w:rPr>
          <w:i/>
          <w:iCs/>
        </w:rPr>
        <w:t xml:space="preserve">many </w:t>
      </w:r>
      <w:r w:rsidR="00213335">
        <w:t>types of spending that we don’t tend to think of as ‘healthcare spending’</w:t>
      </w:r>
      <w:r w:rsidR="005763A2">
        <w:t xml:space="preserve">. </w:t>
      </w:r>
      <w:r w:rsidR="00655487">
        <w:t xml:space="preserve">Included in the total are </w:t>
      </w:r>
      <w:r w:rsidR="00213335">
        <w:t xml:space="preserve">salaries and benefits for the </w:t>
      </w:r>
      <w:r w:rsidR="0035231D">
        <w:t>employees</w:t>
      </w:r>
      <w:r w:rsidR="00213335">
        <w:t xml:space="preserve"> </w:t>
      </w:r>
      <w:r w:rsidR="0035231D">
        <w:t>who</w:t>
      </w:r>
      <w:r w:rsidR="00213335">
        <w:t xml:space="preserve"> run Medicare and each state Medicaid program, research funds of the National Institutes of Health,</w:t>
      </w:r>
      <w:r w:rsidR="00974EBF">
        <w:t xml:space="preserve"> </w:t>
      </w:r>
      <w:r w:rsidR="0035231D">
        <w:t xml:space="preserve">healthcare </w:t>
      </w:r>
      <w:r w:rsidR="00974EBF">
        <w:t xml:space="preserve">facilities maintenance, </w:t>
      </w:r>
      <w:r w:rsidR="00213335">
        <w:t>nursing home care and so on</w:t>
      </w:r>
      <w:r w:rsidR="005763A2">
        <w:t xml:space="preserve">. </w:t>
      </w:r>
      <w:r w:rsidR="00655487">
        <w:t>The denominator is huge</w:t>
      </w:r>
      <w:r w:rsidR="009C194E">
        <w:t xml:space="preserve">. </w:t>
      </w:r>
      <w:r w:rsidR="0035231D">
        <w:t xml:space="preserve">Finally, the ten percent includes </w:t>
      </w:r>
      <w:r w:rsidR="0023197A">
        <w:t>only</w:t>
      </w:r>
      <w:r w:rsidR="0035231D">
        <w:t xml:space="preserve"> retail drugs, not most of the newer biologics that are provided in physician settings</w:t>
      </w:r>
      <w:r w:rsidR="0023197A">
        <w:t xml:space="preserve"> rather than retail settings</w:t>
      </w:r>
      <w:r w:rsidR="0035231D">
        <w:t>.</w:t>
      </w:r>
      <w:r w:rsidR="00655487">
        <w:t xml:space="preserve"> </w:t>
      </w:r>
      <w:r w:rsidR="00B47310">
        <w:t>So,</w:t>
      </w:r>
      <w:r w:rsidR="00655487">
        <w:t xml:space="preserve"> the numerator is unrepresentatively </w:t>
      </w:r>
      <w:r w:rsidR="001D5210">
        <w:t>small,</w:t>
      </w:r>
      <w:r w:rsidR="001E5D66">
        <w:t xml:space="preserve"> and the denominator is </w:t>
      </w:r>
      <w:r w:rsidR="00D8430E">
        <w:t>exceptionally large</w:t>
      </w:r>
      <w:r w:rsidR="009C194E">
        <w:t xml:space="preserve">. </w:t>
      </w:r>
      <w:r w:rsidR="0035231D">
        <w:t xml:space="preserve">The industry data point is </w:t>
      </w:r>
      <w:r w:rsidR="009C194E">
        <w:t>not</w:t>
      </w:r>
      <w:r w:rsidR="0035231D">
        <w:t xml:space="preserve"> meaningful.</w:t>
      </w:r>
    </w:p>
    <w:p w14:paraId="1F72C439" w14:textId="61544120" w:rsidR="00213335" w:rsidRPr="00213335" w:rsidRDefault="00213335" w:rsidP="00213335">
      <w:pPr>
        <w:pStyle w:val="ListParagraph"/>
        <w:numPr>
          <w:ilvl w:val="0"/>
          <w:numId w:val="3"/>
        </w:numPr>
        <w:rPr>
          <w:b/>
        </w:rPr>
      </w:pPr>
      <w:r>
        <w:lastRenderedPageBreak/>
        <w:t xml:space="preserve">Prescription </w:t>
      </w:r>
      <w:r w:rsidR="001B47DD" w:rsidRPr="001B47DD">
        <w:rPr>
          <w:i/>
          <w:iCs/>
        </w:rPr>
        <w:t xml:space="preserve">net </w:t>
      </w:r>
      <w:r>
        <w:t xml:space="preserve">drug costs account for about </w:t>
      </w:r>
      <w:r w:rsidR="00BC5790">
        <w:t>22</w:t>
      </w:r>
      <w:r>
        <w:t xml:space="preserve"> percent of our healthcare premiums</w:t>
      </w:r>
      <w:r>
        <w:rPr>
          <w:rStyle w:val="EndnoteReference"/>
        </w:rPr>
        <w:endnoteReference w:id="1"/>
      </w:r>
      <w:r>
        <w:t xml:space="preserve"> </w:t>
      </w:r>
      <w:r w:rsidR="00701EEC">
        <w:t>which exceeds the proportion spen</w:t>
      </w:r>
      <w:r w:rsidR="00991F82">
        <w:t>t</w:t>
      </w:r>
      <w:r w:rsidR="00701EEC">
        <w:t xml:space="preserve"> on </w:t>
      </w:r>
      <w:r>
        <w:t>provider services</w:t>
      </w:r>
      <w:r w:rsidR="005763A2">
        <w:t xml:space="preserve">. </w:t>
      </w:r>
    </w:p>
    <w:p w14:paraId="627F54F4" w14:textId="70476864" w:rsidR="00213335" w:rsidRPr="00F13A15" w:rsidRDefault="00213335" w:rsidP="00213335">
      <w:pPr>
        <w:pStyle w:val="ListParagraph"/>
        <w:numPr>
          <w:ilvl w:val="0"/>
          <w:numId w:val="3"/>
        </w:numPr>
        <w:rPr>
          <w:b/>
        </w:rPr>
      </w:pPr>
      <w:r>
        <w:t xml:space="preserve">State taxes support some or </w:t>
      </w:r>
      <w:r w:rsidR="00B4569E">
        <w:t>all</w:t>
      </w:r>
      <w:r>
        <w:t xml:space="preserve"> the pharmacy benefits </w:t>
      </w:r>
      <w:r w:rsidR="00C95F3D">
        <w:t xml:space="preserve">for </w:t>
      </w:r>
      <w:r w:rsidR="007C1A88">
        <w:t xml:space="preserve">as many as </w:t>
      </w:r>
      <w:r>
        <w:t>25-30 percent of residents in many states</w:t>
      </w:r>
      <w:r w:rsidR="00D15EFA">
        <w:t>.</w:t>
      </w:r>
      <w:r w:rsidR="00D15EFA">
        <w:rPr>
          <w:rStyle w:val="EndnoteReference"/>
        </w:rPr>
        <w:endnoteReference w:id="2"/>
      </w:r>
      <w:r w:rsidR="00BE5990">
        <w:t xml:space="preserve"> </w:t>
      </w:r>
      <w:r w:rsidR="00D15EFA">
        <w:t>State governments and state residents have a large stake in constraining drug spending</w:t>
      </w:r>
      <w:r w:rsidR="00974EBF">
        <w:t>.</w:t>
      </w:r>
    </w:p>
    <w:p w14:paraId="219F2B09" w14:textId="7F9AB192" w:rsidR="005C4FD9" w:rsidRDefault="005C4FD9" w:rsidP="005C4FD9">
      <w:r>
        <w:t xml:space="preserve">As the amazing biopharmaceutical science and technology rapidly evolves to produce meaningful products, society’s inability to manage the costs of these products without </w:t>
      </w:r>
      <w:r w:rsidR="00D8430E">
        <w:t>significant</w:t>
      </w:r>
      <w:r>
        <w:t xml:space="preserve"> trade-offs inside and outside of healthcare has grown even faster than the technology.</w:t>
      </w:r>
      <w:r w:rsidR="00BE5990">
        <w:t xml:space="preserve"> </w:t>
      </w:r>
    </w:p>
    <w:bookmarkEnd w:id="0"/>
    <w:p w14:paraId="54BD3F46" w14:textId="2226B5CE" w:rsidR="004D5B0D" w:rsidRDefault="004D5B0D" w:rsidP="00734A0F">
      <w:pPr>
        <w:pStyle w:val="Heading1"/>
      </w:pPr>
      <w:r>
        <w:t xml:space="preserve">How We Got Here in </w:t>
      </w:r>
      <w:r w:rsidR="00791AE6">
        <w:t>Pharmaceutical Pricing</w:t>
      </w:r>
    </w:p>
    <w:p w14:paraId="1DE43B65" w14:textId="279BA778" w:rsidR="008D6AB4" w:rsidRDefault="00A530E3" w:rsidP="00803A7C">
      <w:r w:rsidRPr="007078E3">
        <w:rPr>
          <w:noProof/>
          <w:color w:val="FF0000"/>
        </w:rPr>
        <w:drawing>
          <wp:inline distT="0" distB="0" distL="0" distR="0" wp14:anchorId="1974616A" wp14:editId="273478DB">
            <wp:extent cx="6124575" cy="4976495"/>
            <wp:effectExtent l="0" t="0" r="0" b="0"/>
            <wp:docPr id="5" name="Diagram 5">
              <a:extLst xmlns:a="http://schemas.openxmlformats.org/drawingml/2006/main">
                <a:ext uri="{FF2B5EF4-FFF2-40B4-BE49-F238E27FC236}">
                  <a16:creationId xmlns:a16="http://schemas.microsoft.com/office/drawing/2014/main" id="{15360788-F0E6-4238-92B4-D8DCF50871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77011B2" w14:textId="77777777" w:rsidR="008D6AB4" w:rsidRDefault="008D6AB4" w:rsidP="00803A7C"/>
    <w:p w14:paraId="05C7A4AE" w14:textId="4EE3FC12" w:rsidR="00803A7C" w:rsidRDefault="00803A7C" w:rsidP="00803A7C">
      <w:r>
        <w:t>This graphic summari</w:t>
      </w:r>
      <w:r w:rsidR="002D57F6">
        <w:t>z</w:t>
      </w:r>
      <w:r>
        <w:t>es the component</w:t>
      </w:r>
      <w:r w:rsidR="009B041E">
        <w:t xml:space="preserve"> factors that create the situation we have today in biopharmaceutical pricing.</w:t>
      </w:r>
      <w:r w:rsidR="00BE5990">
        <w:t xml:space="preserve"> </w:t>
      </w:r>
      <w:r w:rsidR="005A4C5C">
        <w:t>This constellation of factors ha</w:t>
      </w:r>
      <w:r w:rsidR="00D34A1D">
        <w:t>s always</w:t>
      </w:r>
      <w:r w:rsidR="005A4C5C">
        <w:t xml:space="preserve"> </w:t>
      </w:r>
      <w:r w:rsidR="009817B4">
        <w:t xml:space="preserve">existed, but to </w:t>
      </w:r>
      <w:proofErr w:type="gramStart"/>
      <w:r w:rsidR="00424CD2">
        <w:t xml:space="preserve">a </w:t>
      </w:r>
      <w:r w:rsidR="009817B4">
        <w:t>lesser degree</w:t>
      </w:r>
      <w:r w:rsidR="00A9121D">
        <w:t xml:space="preserve"> of</w:t>
      </w:r>
      <w:proofErr w:type="gramEnd"/>
      <w:r w:rsidR="00A9121D">
        <w:t xml:space="preserve"> effectiveness</w:t>
      </w:r>
      <w:r w:rsidR="009817B4">
        <w:t xml:space="preserve"> than today</w:t>
      </w:r>
      <w:r w:rsidR="00CF61E7">
        <w:t xml:space="preserve"> and with less synergy between the factors</w:t>
      </w:r>
      <w:r w:rsidR="006D0ACC">
        <w:t xml:space="preserve"> than today</w:t>
      </w:r>
      <w:r w:rsidR="009817B4">
        <w:t xml:space="preserve">. </w:t>
      </w:r>
      <w:r w:rsidR="005D3CB8">
        <w:t>This is all legal activity.</w:t>
      </w:r>
      <w:r w:rsidR="00BE5990">
        <w:t xml:space="preserve"> </w:t>
      </w:r>
      <w:r w:rsidR="005D3CB8">
        <w:t xml:space="preserve">This is not </w:t>
      </w:r>
      <w:r w:rsidR="003F6356">
        <w:t>malicious activity.</w:t>
      </w:r>
      <w:r w:rsidR="00BE5990">
        <w:t xml:space="preserve"> </w:t>
      </w:r>
      <w:r w:rsidR="003F6356">
        <w:t>This is business activity</w:t>
      </w:r>
      <w:r w:rsidR="00CF61E7">
        <w:t xml:space="preserve"> that supports </w:t>
      </w:r>
      <w:r w:rsidR="00EA4926">
        <w:t xml:space="preserve">stock price for </w:t>
      </w:r>
      <w:r w:rsidR="00CF61E7">
        <w:t>shareholder</w:t>
      </w:r>
      <w:r w:rsidR="005446ED">
        <w:t xml:space="preserve">s and </w:t>
      </w:r>
      <w:r w:rsidR="005446ED">
        <w:lastRenderedPageBreak/>
        <w:t xml:space="preserve">executive leadership. </w:t>
      </w:r>
      <w:r w:rsidR="002E1774">
        <w:t xml:space="preserve">Stock price is a key performance metric for the industry and drives </w:t>
      </w:r>
      <w:r w:rsidR="0062175D">
        <w:t>decision making</w:t>
      </w:r>
      <w:r w:rsidR="002E1774">
        <w:t>.</w:t>
      </w:r>
      <w:r w:rsidR="00BE5990">
        <w:t xml:space="preserve"> </w:t>
      </w:r>
      <w:r w:rsidR="00DB00E8">
        <w:t xml:space="preserve">The importance of stock price is </w:t>
      </w:r>
      <w:r w:rsidR="002D164F">
        <w:t xml:space="preserve">an </w:t>
      </w:r>
      <w:r w:rsidR="00C10A13">
        <w:t>externality,</w:t>
      </w:r>
      <w:r w:rsidR="00106333">
        <w:t xml:space="preserve"> and </w:t>
      </w:r>
      <w:r w:rsidR="00887A99">
        <w:t>it is not something that any single company can address, which is why I think public policy is important in this market.</w:t>
      </w:r>
      <w:r w:rsidR="00BE5990">
        <w:t xml:space="preserve"> </w:t>
      </w:r>
    </w:p>
    <w:p w14:paraId="5F12E657" w14:textId="2D837378" w:rsidR="00A24F4A" w:rsidRDefault="008E4ACD" w:rsidP="00803A7C">
      <w:r>
        <w:t xml:space="preserve">I would like to </w:t>
      </w:r>
      <w:r w:rsidR="00DB7DDA">
        <w:t>briefly describe</w:t>
      </w:r>
      <w:r w:rsidR="00C66035">
        <w:t xml:space="preserve"> each of the components of the drug price/drug cost dilemma.</w:t>
      </w:r>
      <w:r w:rsidR="00BE5990">
        <w:t xml:space="preserve"> </w:t>
      </w:r>
      <w:r w:rsidR="007F0276">
        <w:t xml:space="preserve">Finally, I would like to make the case for </w:t>
      </w:r>
      <w:r w:rsidR="006C721E">
        <w:t xml:space="preserve">government policy to modify industry behavior </w:t>
      </w:r>
      <w:r w:rsidR="006F48BA">
        <w:t>in ways that support continued treatment breakthroughs</w:t>
      </w:r>
      <w:r w:rsidR="008F65A9">
        <w:t xml:space="preserve"> while assuring that </w:t>
      </w:r>
      <w:r w:rsidR="00503D00">
        <w:t xml:space="preserve">people who need </w:t>
      </w:r>
      <w:r w:rsidR="00D75C8A">
        <w:t>a</w:t>
      </w:r>
      <w:r w:rsidR="00503D00">
        <w:t xml:space="preserve"> drug can afford th</w:t>
      </w:r>
      <w:r w:rsidR="00D75C8A">
        <w:t>at</w:t>
      </w:r>
      <w:r w:rsidR="00503D00">
        <w:t xml:space="preserve"> drug.</w:t>
      </w:r>
      <w:r w:rsidR="00BE5990">
        <w:t xml:space="preserve"> </w:t>
      </w:r>
      <w:r w:rsidR="003557E8">
        <w:t xml:space="preserve"> I think an optimal policy is a Prescription Drug Affordability Board </w:t>
      </w:r>
      <w:r w:rsidR="002E0002">
        <w:t>(S.</w:t>
      </w:r>
      <w:r w:rsidR="00025C14">
        <w:t xml:space="preserve"> 844), which is the subject of this hearing.</w:t>
      </w:r>
      <w:r w:rsidR="002E0002">
        <w:t xml:space="preserve"> </w:t>
      </w:r>
    </w:p>
    <w:p w14:paraId="0605E122" w14:textId="1C76FE91" w:rsidR="0074742F" w:rsidRPr="002B5313" w:rsidRDefault="00ED1B54" w:rsidP="00803A7C">
      <w:pPr>
        <w:rPr>
          <w:color w:val="9966FF"/>
          <w:sz w:val="32"/>
          <w:szCs w:val="32"/>
        </w:rPr>
      </w:pPr>
      <w:r w:rsidRPr="002B5313">
        <w:rPr>
          <w:color w:val="9966FF"/>
          <w:sz w:val="32"/>
          <w:szCs w:val="32"/>
        </w:rPr>
        <w:t>M</w:t>
      </w:r>
      <w:r w:rsidR="0074742F" w:rsidRPr="002B5313">
        <w:rPr>
          <w:color w:val="9966FF"/>
          <w:sz w:val="32"/>
          <w:szCs w:val="32"/>
        </w:rPr>
        <w:t xml:space="preserve">anufacturers Have Moved to Small </w:t>
      </w:r>
      <w:r w:rsidR="00715041" w:rsidRPr="002B5313">
        <w:rPr>
          <w:color w:val="9966FF"/>
          <w:sz w:val="32"/>
          <w:szCs w:val="32"/>
        </w:rPr>
        <w:t>Population Diseases</w:t>
      </w:r>
    </w:p>
    <w:p w14:paraId="6984C9AC" w14:textId="1C10B86D" w:rsidR="00217E47" w:rsidRDefault="00071DA5" w:rsidP="00803A7C">
      <w:r>
        <w:rPr>
          <w:noProof/>
        </w:rPr>
        <mc:AlternateContent>
          <mc:Choice Requires="wpg">
            <w:drawing>
              <wp:anchor distT="45720" distB="45720" distL="182880" distR="182880" simplePos="0" relativeHeight="251661312" behindDoc="0" locked="0" layoutInCell="1" allowOverlap="1" wp14:anchorId="22CAA668" wp14:editId="598E3C42">
                <wp:simplePos x="0" y="0"/>
                <wp:positionH relativeFrom="margin">
                  <wp:posOffset>-381000</wp:posOffset>
                </wp:positionH>
                <wp:positionV relativeFrom="margin">
                  <wp:posOffset>2371725</wp:posOffset>
                </wp:positionV>
                <wp:extent cx="6124575" cy="15430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124575" cy="1543050"/>
                          <a:chOff x="-265969" y="-3293441"/>
                          <a:chExt cx="3712180" cy="3046750"/>
                        </a:xfrm>
                      </wpg:grpSpPr>
                      <wps:wsp>
                        <wps:cNvPr id="199" name="Rectangle 199"/>
                        <wps:cNvSpPr/>
                        <wps:spPr>
                          <a:xfrm>
                            <a:off x="-121237" y="-3293441"/>
                            <a:ext cx="3567448" cy="2706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B9A8B" w14:textId="77777777" w:rsidR="00217E47" w:rsidRPr="002B5313" w:rsidRDefault="00217E47" w:rsidP="00217E47">
                              <w:pPr>
                                <w:jc w:val="center"/>
                                <w:rPr>
                                  <w:rFonts w:asciiTheme="majorHAnsi" w:eastAsiaTheme="majorEastAsia" w:hAnsiTheme="majorHAnsi" w:cstheme="majorBidi"/>
                                  <w:color w:val="6666F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65969" y="-3126296"/>
                            <a:ext cx="3567448" cy="287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1885B" w14:textId="6D879C85" w:rsidR="002405A7" w:rsidRPr="002405A7" w:rsidRDefault="00A30FA2" w:rsidP="002405A7">
                              <w:pPr>
                                <w:ind w:left="360"/>
                                <w:rPr>
                                  <w:b/>
                                  <w:bCs/>
                                  <w:caps/>
                                  <w:color w:val="4472C4" w:themeColor="accent1"/>
                                  <w:sz w:val="18"/>
                                  <w:szCs w:val="18"/>
                                </w:rPr>
                              </w:pPr>
                              <w:r w:rsidRPr="00A30FA2">
                                <w:rPr>
                                  <w:b/>
                                  <w:bCs/>
                                  <w:caps/>
                                  <w:color w:val="4472C4" w:themeColor="accent1"/>
                                  <w:sz w:val="18"/>
                                  <w:szCs w:val="18"/>
                                </w:rPr>
                                <w:t>“[</w:t>
                              </w:r>
                              <w:r w:rsidRPr="00A30FA2">
                                <w:rPr>
                                  <w:b/>
                                  <w:bCs/>
                                  <w:i/>
                                  <w:iCs/>
                                  <w:caps/>
                                  <w:color w:val="4472C4" w:themeColor="accent1"/>
                                  <w:sz w:val="18"/>
                                  <w:szCs w:val="18"/>
                                </w:rPr>
                                <w:t>Sanofi CEO</w:t>
                              </w:r>
                              <w:r w:rsidRPr="00A30FA2">
                                <w:rPr>
                                  <w:b/>
                                  <w:bCs/>
                                  <w:caps/>
                                  <w:color w:val="4472C4" w:themeColor="accent1"/>
                                  <w:sz w:val="18"/>
                                  <w:szCs w:val="18"/>
                                </w:rPr>
                                <w:t xml:space="preserve">] Hudson said he expects sales of Sanofi’s vaccines business to grow at mid-to-high single digits. It </w:t>
                              </w:r>
                              <w:r w:rsidRPr="00A30FA2">
                                <w:rPr>
                                  <w:b/>
                                  <w:bCs/>
                                  <w:caps/>
                                  <w:color w:val="4472C4" w:themeColor="accent1"/>
                                  <w:sz w:val="18"/>
                                  <w:szCs w:val="18"/>
                                  <w:u w:val="single"/>
                                </w:rPr>
                                <w:t>[</w:t>
                              </w:r>
                              <w:r w:rsidRPr="00A30FA2">
                                <w:rPr>
                                  <w:b/>
                                  <w:bCs/>
                                  <w:i/>
                                  <w:iCs/>
                                  <w:caps/>
                                  <w:color w:val="4472C4" w:themeColor="accent1"/>
                                  <w:sz w:val="18"/>
                                  <w:szCs w:val="18"/>
                                  <w:u w:val="single"/>
                                </w:rPr>
                                <w:t>the company</w:t>
                              </w:r>
                              <w:r w:rsidRPr="00A30FA2">
                                <w:rPr>
                                  <w:b/>
                                  <w:bCs/>
                                  <w:caps/>
                                  <w:color w:val="4472C4" w:themeColor="accent1"/>
                                  <w:sz w:val="18"/>
                                  <w:szCs w:val="18"/>
                                  <w:u w:val="single"/>
                                </w:rPr>
                                <w:t>] will focus on oncology, hematology, rare disease, neurology</w:t>
                              </w:r>
                              <w:r w:rsidRPr="00A30FA2">
                                <w:rPr>
                                  <w:b/>
                                  <w:bCs/>
                                  <w:caps/>
                                  <w:color w:val="4472C4" w:themeColor="accent1"/>
                                  <w:sz w:val="18"/>
                                  <w:szCs w:val="18"/>
                                </w:rPr>
                                <w:t>, and the Chinese market, where Sanofi has been strong. It will give top priority to six experimental drugs, including two for hemophilia and single entrants in rare disease, cancer, infection, and multiple sclerosis.</w:t>
                              </w:r>
                              <w:r w:rsidR="00BE5990">
                                <w:rPr>
                                  <w:b/>
                                  <w:bCs/>
                                  <w:caps/>
                                  <w:color w:val="4472C4" w:themeColor="accent1"/>
                                  <w:sz w:val="18"/>
                                  <w:szCs w:val="18"/>
                                </w:rPr>
                                <w:t xml:space="preserve"> </w:t>
                              </w:r>
                              <w:r w:rsidR="002405A7" w:rsidRPr="002405A7">
                                <w:rPr>
                                  <w:b/>
                                  <w:bCs/>
                                  <w:caps/>
                                  <w:color w:val="4472C4" w:themeColor="accent1"/>
                                  <w:sz w:val="18"/>
                                  <w:szCs w:val="18"/>
                                </w:rPr>
                                <w:t xml:space="preserve">That transition will come at a cost. Sanofi was built on Plavix, one of the best-selling heart drugs ever. It currently sells Lantus, a long-acting insulin that was the best-selling insulin in the world. </w:t>
                              </w:r>
                              <w:r w:rsidR="002405A7" w:rsidRPr="002405A7">
                                <w:rPr>
                                  <w:b/>
                                  <w:bCs/>
                                  <w:caps/>
                                  <w:color w:val="4472C4" w:themeColor="accent1"/>
                                  <w:sz w:val="18"/>
                                  <w:szCs w:val="18"/>
                                  <w:u w:val="single"/>
                                </w:rPr>
                                <w:t xml:space="preserve">But Sanofi will exit research in diabetes and cardiovascular disease, </w:t>
                              </w:r>
                              <w:r w:rsidR="002405A7" w:rsidRPr="002405A7">
                                <w:rPr>
                                  <w:b/>
                                  <w:bCs/>
                                  <w:caps/>
                                  <w:color w:val="4472C4" w:themeColor="accent1"/>
                                  <w:sz w:val="18"/>
                                  <w:szCs w:val="18"/>
                                </w:rPr>
                                <w:t>finishing studies on a major diabetes medicine it is developing without plans to bring it to market.” Stat News 12/9/2019</w:t>
                              </w:r>
                            </w:p>
                            <w:p w14:paraId="3E08A5F4" w14:textId="6178DEAD" w:rsidR="00A30FA2" w:rsidRPr="00A30FA2" w:rsidRDefault="00A30FA2" w:rsidP="00A30FA2">
                              <w:pPr>
                                <w:numPr>
                                  <w:ilvl w:val="0"/>
                                  <w:numId w:val="20"/>
                                </w:numPr>
                                <w:rPr>
                                  <w:caps/>
                                  <w:color w:val="4472C4" w:themeColor="accent1"/>
                                  <w:sz w:val="26"/>
                                  <w:szCs w:val="26"/>
                                </w:rPr>
                              </w:pPr>
                            </w:p>
                            <w:p w14:paraId="70E471BA" w14:textId="20BE8D58" w:rsidR="00217E47" w:rsidRDefault="00217E47" w:rsidP="00217E47">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CAA668" id="Group 198" o:spid="_x0000_s1027" style="position:absolute;margin-left:-30pt;margin-top:186.75pt;width:482.25pt;height:121.5pt;z-index:251661312;mso-wrap-distance-left:14.4pt;mso-wrap-distance-top:3.6pt;mso-wrap-distance-right:14.4pt;mso-wrap-distance-bottom:3.6pt;mso-position-horizontal-relative:margin;mso-position-vertical-relative:margin;mso-width-relative:margin;mso-height-relative:margin" coordorigin="-2659,-32934" coordsize="37121,3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">
                <v:rect id="Rectangle 199" o:spid="_x0000_s1028" style="position:absolute;left:-1212;top:-32934;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07B9A8B" w14:textId="77777777" w:rsidR="00217E47" w:rsidRPr="002B5313" w:rsidRDefault="00217E47" w:rsidP="00217E47">
                        <w:pPr>
                          <w:jc w:val="center"/>
                          <w:rPr>
                            <w:rFonts w:asciiTheme="majorHAnsi" w:eastAsiaTheme="majorEastAsia" w:hAnsiTheme="majorHAnsi" w:cstheme="majorBidi"/>
                            <w:color w:val="6666FF"/>
                            <w:sz w:val="24"/>
                            <w:szCs w:val="28"/>
                          </w:rPr>
                        </w:pPr>
                      </w:p>
                    </w:txbxContent>
                  </v:textbox>
                </v:rect>
                <v:shapetype id="_x0000_t202" coordsize="21600,21600" o:spt="202" path="m,l,21600r21600,l21600,xe">
                  <v:stroke joinstyle="miter"/>
                  <v:path gradientshapeok="t" o:connecttype="rect"/>
                </v:shapetype>
                <v:shape id="Text Box 200" o:spid="_x0000_s1029" type="#_x0000_t202" style="position:absolute;left:-2659;top:-31262;width:35673;height:28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021885B" w14:textId="6D879C85" w:rsidR="002405A7" w:rsidRPr="002405A7" w:rsidRDefault="00A30FA2" w:rsidP="002405A7">
                        <w:pPr>
                          <w:ind w:left="360"/>
                          <w:rPr>
                            <w:b/>
                            <w:bCs/>
                            <w:caps/>
                            <w:color w:val="4472C4" w:themeColor="accent1"/>
                            <w:sz w:val="18"/>
                            <w:szCs w:val="18"/>
                          </w:rPr>
                        </w:pPr>
                        <w:r w:rsidRPr="00A30FA2">
                          <w:rPr>
                            <w:b/>
                            <w:bCs/>
                            <w:caps/>
                            <w:color w:val="4472C4" w:themeColor="accent1"/>
                            <w:sz w:val="18"/>
                            <w:szCs w:val="18"/>
                          </w:rPr>
                          <w:t>“[</w:t>
                        </w:r>
                        <w:r w:rsidRPr="00A30FA2">
                          <w:rPr>
                            <w:b/>
                            <w:bCs/>
                            <w:i/>
                            <w:iCs/>
                            <w:caps/>
                            <w:color w:val="4472C4" w:themeColor="accent1"/>
                            <w:sz w:val="18"/>
                            <w:szCs w:val="18"/>
                          </w:rPr>
                          <w:t>Sanofi CEO</w:t>
                        </w:r>
                        <w:r w:rsidRPr="00A30FA2">
                          <w:rPr>
                            <w:b/>
                            <w:bCs/>
                            <w:caps/>
                            <w:color w:val="4472C4" w:themeColor="accent1"/>
                            <w:sz w:val="18"/>
                            <w:szCs w:val="18"/>
                          </w:rPr>
                          <w:t xml:space="preserve">] Hudson said he expects sales of Sanofi’s vaccines business to grow at mid-to-high single digits. It </w:t>
                        </w:r>
                        <w:r w:rsidRPr="00A30FA2">
                          <w:rPr>
                            <w:b/>
                            <w:bCs/>
                            <w:caps/>
                            <w:color w:val="4472C4" w:themeColor="accent1"/>
                            <w:sz w:val="18"/>
                            <w:szCs w:val="18"/>
                            <w:u w:val="single"/>
                          </w:rPr>
                          <w:t>[</w:t>
                        </w:r>
                        <w:r w:rsidRPr="00A30FA2">
                          <w:rPr>
                            <w:b/>
                            <w:bCs/>
                            <w:i/>
                            <w:iCs/>
                            <w:caps/>
                            <w:color w:val="4472C4" w:themeColor="accent1"/>
                            <w:sz w:val="18"/>
                            <w:szCs w:val="18"/>
                            <w:u w:val="single"/>
                          </w:rPr>
                          <w:t>the company</w:t>
                        </w:r>
                        <w:r w:rsidRPr="00A30FA2">
                          <w:rPr>
                            <w:b/>
                            <w:bCs/>
                            <w:caps/>
                            <w:color w:val="4472C4" w:themeColor="accent1"/>
                            <w:sz w:val="18"/>
                            <w:szCs w:val="18"/>
                            <w:u w:val="single"/>
                          </w:rPr>
                          <w:t>] will focus on oncology, hematology, rare disease, neurology</w:t>
                        </w:r>
                        <w:r w:rsidRPr="00A30FA2">
                          <w:rPr>
                            <w:b/>
                            <w:bCs/>
                            <w:caps/>
                            <w:color w:val="4472C4" w:themeColor="accent1"/>
                            <w:sz w:val="18"/>
                            <w:szCs w:val="18"/>
                          </w:rPr>
                          <w:t>, and the Chinese market, where Sanofi has been strong. It will give top priority to six experimental drugs, including two for hemophilia and single entrants in rare disease, cancer, infection, and multiple sclerosis.</w:t>
                        </w:r>
                        <w:r w:rsidR="00BE5990">
                          <w:rPr>
                            <w:b/>
                            <w:bCs/>
                            <w:caps/>
                            <w:color w:val="4472C4" w:themeColor="accent1"/>
                            <w:sz w:val="18"/>
                            <w:szCs w:val="18"/>
                          </w:rPr>
                          <w:t xml:space="preserve"> </w:t>
                        </w:r>
                        <w:r w:rsidR="002405A7" w:rsidRPr="002405A7">
                          <w:rPr>
                            <w:b/>
                            <w:bCs/>
                            <w:caps/>
                            <w:color w:val="4472C4" w:themeColor="accent1"/>
                            <w:sz w:val="18"/>
                            <w:szCs w:val="18"/>
                          </w:rPr>
                          <w:t xml:space="preserve">That transition will come at a cost. Sanofi was built on Plavix, one of the best-selling heart drugs ever. It currently sells Lantus, a long-acting insulin that was the best-selling insulin in the world. </w:t>
                        </w:r>
                        <w:r w:rsidR="002405A7" w:rsidRPr="002405A7">
                          <w:rPr>
                            <w:b/>
                            <w:bCs/>
                            <w:caps/>
                            <w:color w:val="4472C4" w:themeColor="accent1"/>
                            <w:sz w:val="18"/>
                            <w:szCs w:val="18"/>
                            <w:u w:val="single"/>
                          </w:rPr>
                          <w:t xml:space="preserve">But Sanofi will exit research in diabetes and cardiovascular disease, </w:t>
                        </w:r>
                        <w:r w:rsidR="002405A7" w:rsidRPr="002405A7">
                          <w:rPr>
                            <w:b/>
                            <w:bCs/>
                            <w:caps/>
                            <w:color w:val="4472C4" w:themeColor="accent1"/>
                            <w:sz w:val="18"/>
                            <w:szCs w:val="18"/>
                          </w:rPr>
                          <w:t>finishing studies on a major diabetes medicine it is developing without plans to bring it to market.” Stat News 12/9/2019</w:t>
                        </w:r>
                      </w:p>
                      <w:p w14:paraId="3E08A5F4" w14:textId="6178DEAD" w:rsidR="00A30FA2" w:rsidRPr="00A30FA2" w:rsidRDefault="00A30FA2" w:rsidP="00A30FA2">
                        <w:pPr>
                          <w:numPr>
                            <w:ilvl w:val="0"/>
                            <w:numId w:val="20"/>
                          </w:numPr>
                          <w:rPr>
                            <w:caps/>
                            <w:color w:val="4472C4" w:themeColor="accent1"/>
                            <w:sz w:val="26"/>
                            <w:szCs w:val="26"/>
                          </w:rPr>
                        </w:pPr>
                      </w:p>
                      <w:p w14:paraId="70E471BA" w14:textId="20BE8D58" w:rsidR="00217E47" w:rsidRDefault="00217E47" w:rsidP="00217E47">
                        <w:pPr>
                          <w:rPr>
                            <w:caps/>
                            <w:color w:val="4472C4" w:themeColor="accent1"/>
                            <w:sz w:val="26"/>
                            <w:szCs w:val="26"/>
                          </w:rPr>
                        </w:pPr>
                      </w:p>
                    </w:txbxContent>
                  </v:textbox>
                </v:shape>
                <w10:wrap type="square" anchorx="margin" anchory="margin"/>
              </v:group>
            </w:pict>
          </mc:Fallback>
        </mc:AlternateContent>
      </w:r>
      <w:r w:rsidR="00715041">
        <w:t xml:space="preserve">This move has been documented in the trade and business press over the past decade or so. </w:t>
      </w:r>
    </w:p>
    <w:p w14:paraId="218266BA" w14:textId="29591FC4" w:rsidR="00071DA5" w:rsidRDefault="00071DA5" w:rsidP="00E11373">
      <w:pPr>
        <w:spacing w:after="0"/>
      </w:pPr>
    </w:p>
    <w:p w14:paraId="79B24E63" w14:textId="3FC81AA2" w:rsidR="00E11373" w:rsidRDefault="00BF50CA" w:rsidP="00E11373">
      <w:pPr>
        <w:spacing w:after="0"/>
      </w:pPr>
      <w:r>
        <w:t xml:space="preserve">The industry understands that </w:t>
      </w:r>
      <w:r w:rsidR="007F1ED1">
        <w:t xml:space="preserve">it is more difficult for insurers to manage utilization and costs of </w:t>
      </w:r>
      <w:r w:rsidR="00D51D28">
        <w:t>new treatments that serve small groups of people with high unmet needs.</w:t>
      </w:r>
      <w:r w:rsidR="00BE5990">
        <w:t xml:space="preserve"> </w:t>
      </w:r>
      <w:r w:rsidR="00D51D28">
        <w:t xml:space="preserve">The move to address unmet medical needs is </w:t>
      </w:r>
      <w:r w:rsidR="0046148B">
        <w:t>especially important</w:t>
      </w:r>
      <w:r w:rsidR="009C4AAE">
        <w:t>,</w:t>
      </w:r>
      <w:r w:rsidR="00D51D28">
        <w:t xml:space="preserve"> </w:t>
      </w:r>
      <w:r w:rsidR="00670EE0">
        <w:t>but there have been pricing abuses associated with this trend… extra</w:t>
      </w:r>
      <w:r w:rsidR="00364BFB">
        <w:t>ordinarily cost</w:t>
      </w:r>
      <w:r w:rsidR="00D75C8A">
        <w:t>ly</w:t>
      </w:r>
      <w:r w:rsidR="00670EE0">
        <w:t xml:space="preserve"> oncology products </w:t>
      </w:r>
      <w:r w:rsidR="00364BFB">
        <w:t xml:space="preserve">that provide </w:t>
      </w:r>
      <w:r w:rsidR="00D8430E">
        <w:t>small</w:t>
      </w:r>
      <w:r w:rsidR="00364BFB">
        <w:t xml:space="preserve"> benefits over existing therapies</w:t>
      </w:r>
      <w:r w:rsidR="00340F2A">
        <w:t xml:space="preserve"> and</w:t>
      </w:r>
      <w:r w:rsidR="00D75C8A">
        <w:t xml:space="preserve"> new </w:t>
      </w:r>
      <w:r w:rsidR="00BD74FB">
        <w:t>million-dollar</w:t>
      </w:r>
      <w:r w:rsidR="00D75C8A">
        <w:t xml:space="preserve"> treatments for </w:t>
      </w:r>
      <w:r w:rsidR="00340F2A">
        <w:t>rare diseases</w:t>
      </w:r>
      <w:r w:rsidR="00364BFB">
        <w:t>.</w:t>
      </w:r>
      <w:r w:rsidR="00BE5990">
        <w:t xml:space="preserve"> </w:t>
      </w:r>
      <w:r w:rsidR="00C04841">
        <w:t xml:space="preserve">We tend to view extremely costly products that treat a small </w:t>
      </w:r>
      <w:r w:rsidR="00936050">
        <w:t>group</w:t>
      </w:r>
      <w:r w:rsidR="00C04841">
        <w:t xml:space="preserve"> of people as </w:t>
      </w:r>
      <w:r w:rsidR="007B1658">
        <w:t xml:space="preserve">justifiable, but that is not okay when we look at how many people </w:t>
      </w:r>
      <w:r w:rsidR="00014D9C">
        <w:t xml:space="preserve">have these types of diseases: </w:t>
      </w:r>
    </w:p>
    <w:p w14:paraId="1CA78DFD" w14:textId="4EA060E7" w:rsidR="006019D3" w:rsidRPr="006019D3" w:rsidRDefault="006019D3" w:rsidP="00E11373">
      <w:pPr>
        <w:pStyle w:val="ListParagraph"/>
        <w:numPr>
          <w:ilvl w:val="0"/>
          <w:numId w:val="17"/>
        </w:numPr>
        <w:spacing w:after="0"/>
      </w:pPr>
      <w:r w:rsidRPr="006019D3">
        <w:t>Rare diseases – 25M people/330M total population (rare disease affects &lt;200000 people)</w:t>
      </w:r>
    </w:p>
    <w:p w14:paraId="62FEE119" w14:textId="7A2D855B" w:rsidR="006019D3" w:rsidRPr="006019D3" w:rsidRDefault="006019D3" w:rsidP="002E1AB4">
      <w:pPr>
        <w:numPr>
          <w:ilvl w:val="0"/>
          <w:numId w:val="17"/>
        </w:numPr>
        <w:spacing w:after="0"/>
      </w:pPr>
      <w:r w:rsidRPr="006019D3">
        <w:t>Cancer – 1.7M people</w:t>
      </w:r>
      <w:r w:rsidRPr="006019D3">
        <w:tab/>
      </w:r>
      <w:r w:rsidRPr="006019D3">
        <w:tab/>
      </w:r>
    </w:p>
    <w:p w14:paraId="670E7324" w14:textId="23E49014" w:rsidR="006019D3" w:rsidRPr="006019D3" w:rsidRDefault="006019D3" w:rsidP="002E1AB4">
      <w:pPr>
        <w:numPr>
          <w:ilvl w:val="0"/>
          <w:numId w:val="17"/>
        </w:numPr>
        <w:spacing w:after="0"/>
      </w:pPr>
      <w:r w:rsidRPr="006019D3">
        <w:t>COPD – 16M people</w:t>
      </w:r>
    </w:p>
    <w:p w14:paraId="30641DF8" w14:textId="3325C537" w:rsidR="006019D3" w:rsidRPr="006019D3" w:rsidRDefault="006019D3" w:rsidP="002E1AB4">
      <w:pPr>
        <w:numPr>
          <w:ilvl w:val="0"/>
          <w:numId w:val="17"/>
        </w:numPr>
        <w:spacing w:after="0"/>
      </w:pPr>
      <w:r w:rsidRPr="006019D3">
        <w:t>Lupus – 1.5M people</w:t>
      </w:r>
    </w:p>
    <w:p w14:paraId="0BDE9088" w14:textId="0E09340D" w:rsidR="006019D3" w:rsidRPr="006019D3" w:rsidRDefault="006019D3" w:rsidP="002E1AB4">
      <w:pPr>
        <w:numPr>
          <w:ilvl w:val="0"/>
          <w:numId w:val="17"/>
        </w:numPr>
        <w:spacing w:after="0"/>
      </w:pPr>
      <w:r w:rsidRPr="006019D3">
        <w:t xml:space="preserve">MS </w:t>
      </w:r>
      <w:r w:rsidR="00340F2A" w:rsidRPr="006019D3">
        <w:t>-- 1</w:t>
      </w:r>
      <w:r w:rsidRPr="006019D3">
        <w:t>M people</w:t>
      </w:r>
    </w:p>
    <w:p w14:paraId="745B7849" w14:textId="065B925F" w:rsidR="006019D3" w:rsidRPr="006019D3" w:rsidRDefault="006019D3" w:rsidP="002E1AB4">
      <w:pPr>
        <w:numPr>
          <w:ilvl w:val="0"/>
          <w:numId w:val="17"/>
        </w:numPr>
        <w:spacing w:after="0"/>
      </w:pPr>
      <w:r w:rsidRPr="006019D3">
        <w:t>Epilepsy – 3M people</w:t>
      </w:r>
    </w:p>
    <w:p w14:paraId="74228246" w14:textId="6F1072F0" w:rsidR="006019D3" w:rsidRPr="006019D3" w:rsidRDefault="006019D3" w:rsidP="002E1AB4">
      <w:pPr>
        <w:numPr>
          <w:ilvl w:val="0"/>
          <w:numId w:val="17"/>
        </w:numPr>
        <w:spacing w:after="0"/>
      </w:pPr>
      <w:r w:rsidRPr="006019D3">
        <w:t>Sickle Cell – 1M people</w:t>
      </w:r>
    </w:p>
    <w:p w14:paraId="1744C87B" w14:textId="7103E7C0" w:rsidR="006019D3" w:rsidRDefault="002E1AB4" w:rsidP="00F0537F">
      <w:pPr>
        <w:spacing w:after="0"/>
      </w:pPr>
      <w:r w:rsidRPr="00F0537F">
        <w:t xml:space="preserve">These numbers add up to </w:t>
      </w:r>
      <w:r w:rsidR="00F0537F" w:rsidRPr="00F0537F">
        <w:t xml:space="preserve">about </w:t>
      </w:r>
      <w:r w:rsidR="006019D3" w:rsidRPr="006019D3">
        <w:t>15% of population</w:t>
      </w:r>
      <w:r w:rsidR="00F0537F" w:rsidRPr="00F0537F">
        <w:t xml:space="preserve"> which means that the</w:t>
      </w:r>
      <w:r w:rsidR="00F0537F">
        <w:rPr>
          <w:b/>
          <w:bCs/>
        </w:rPr>
        <w:t xml:space="preserve"> </w:t>
      </w:r>
      <w:r w:rsidR="0070602F">
        <w:t>current industry p</w:t>
      </w:r>
      <w:r w:rsidR="006019D3" w:rsidRPr="006019D3">
        <w:t>ricing model will generate phenomenal</w:t>
      </w:r>
      <w:r w:rsidR="00F0537F">
        <w:t xml:space="preserve"> </w:t>
      </w:r>
      <w:r w:rsidR="006019D3" w:rsidRPr="006019D3">
        <w:t>costs</w:t>
      </w:r>
      <w:r w:rsidR="0070602F">
        <w:t xml:space="preserve"> for society</w:t>
      </w:r>
      <w:r w:rsidR="006E7025">
        <w:t>.</w:t>
      </w:r>
      <w:r w:rsidR="00BE5990">
        <w:t xml:space="preserve"> </w:t>
      </w:r>
      <w:r w:rsidR="006E7025">
        <w:t>Amazing drugs will not work if we cannot afford them</w:t>
      </w:r>
      <w:r w:rsidR="0070602F">
        <w:t>.</w:t>
      </w:r>
      <w:r w:rsidR="00BE5990">
        <w:t xml:space="preserve"> </w:t>
      </w:r>
    </w:p>
    <w:p w14:paraId="574EBBAF" w14:textId="49F05EDC" w:rsidR="006019D3" w:rsidRDefault="006019D3" w:rsidP="00F0537F">
      <w:pPr>
        <w:spacing w:after="0"/>
      </w:pPr>
    </w:p>
    <w:p w14:paraId="22DB5124" w14:textId="48C21C34" w:rsidR="00ED1B54" w:rsidRPr="00B37718" w:rsidRDefault="00ED1B54" w:rsidP="00ED1B54">
      <w:pPr>
        <w:rPr>
          <w:b/>
          <w:bCs/>
          <w:color w:val="92D050"/>
          <w:sz w:val="32"/>
          <w:szCs w:val="32"/>
        </w:rPr>
      </w:pPr>
      <w:r w:rsidRPr="00B37718">
        <w:rPr>
          <w:b/>
          <w:bCs/>
          <w:color w:val="92D050"/>
          <w:sz w:val="32"/>
          <w:szCs w:val="32"/>
        </w:rPr>
        <w:t xml:space="preserve">Who Benefits from High Drug Prices? </w:t>
      </w:r>
    </w:p>
    <w:p w14:paraId="52C4876D" w14:textId="0B612ABE" w:rsidR="00ED1B54" w:rsidRPr="00B53F02" w:rsidRDefault="00ED1B54" w:rsidP="00B53F02">
      <w:pPr>
        <w:pStyle w:val="ListParagraph"/>
        <w:numPr>
          <w:ilvl w:val="0"/>
          <w:numId w:val="25"/>
        </w:numPr>
        <w:rPr>
          <w:bCs/>
        </w:rPr>
      </w:pPr>
      <w:r w:rsidRPr="00B53F02">
        <w:rPr>
          <w:bCs/>
        </w:rPr>
        <w:t>Manufacturers – establish the list price/wholesale price</w:t>
      </w:r>
    </w:p>
    <w:p w14:paraId="588C4706" w14:textId="39D622F1" w:rsidR="00ED1B54" w:rsidRPr="00B53F02" w:rsidRDefault="00ED1B54" w:rsidP="00B53F02">
      <w:pPr>
        <w:pStyle w:val="ListParagraph"/>
        <w:numPr>
          <w:ilvl w:val="0"/>
          <w:numId w:val="25"/>
        </w:numPr>
        <w:rPr>
          <w:bCs/>
        </w:rPr>
      </w:pPr>
      <w:r w:rsidRPr="00B53F02">
        <w:rPr>
          <w:bCs/>
        </w:rPr>
        <w:t xml:space="preserve">Wholesalers – attach small markup to large product </w:t>
      </w:r>
      <w:r w:rsidR="00B53F02">
        <w:rPr>
          <w:bCs/>
        </w:rPr>
        <w:t xml:space="preserve">sales </w:t>
      </w:r>
      <w:r w:rsidRPr="00B53F02">
        <w:rPr>
          <w:bCs/>
        </w:rPr>
        <w:t>volumes</w:t>
      </w:r>
    </w:p>
    <w:p w14:paraId="188D96A3" w14:textId="7385851B" w:rsidR="00ED1B54" w:rsidRPr="00B53F02" w:rsidRDefault="00ED1B54" w:rsidP="00B53F02">
      <w:pPr>
        <w:pStyle w:val="ListParagraph"/>
        <w:numPr>
          <w:ilvl w:val="0"/>
          <w:numId w:val="25"/>
        </w:numPr>
        <w:rPr>
          <w:bCs/>
        </w:rPr>
      </w:pPr>
      <w:r w:rsidRPr="00B53F02">
        <w:rPr>
          <w:bCs/>
        </w:rPr>
        <w:lastRenderedPageBreak/>
        <w:t xml:space="preserve">Research Centers/Universities – conduct bench science to develop promising molecules </w:t>
      </w:r>
      <w:r w:rsidR="00B53F02">
        <w:rPr>
          <w:bCs/>
        </w:rPr>
        <w:t>(</w:t>
      </w:r>
      <w:r w:rsidR="0036356D">
        <w:rPr>
          <w:bCs/>
        </w:rPr>
        <w:t>o</w:t>
      </w:r>
      <w:r w:rsidR="00B53F02">
        <w:rPr>
          <w:bCs/>
        </w:rPr>
        <w:t>ften with federal funding</w:t>
      </w:r>
      <w:r w:rsidR="0036356D">
        <w:rPr>
          <w:bCs/>
        </w:rPr>
        <w:t xml:space="preserve">) </w:t>
      </w:r>
      <w:r w:rsidRPr="00B53F02">
        <w:rPr>
          <w:bCs/>
        </w:rPr>
        <w:t>that they patent, and then lease or sell rights to manufacturers who commercialize the molecule.</w:t>
      </w:r>
      <w:r w:rsidR="00BE5990">
        <w:rPr>
          <w:bCs/>
        </w:rPr>
        <w:t xml:space="preserve"> </w:t>
      </w:r>
      <w:r w:rsidRPr="00B53F02">
        <w:rPr>
          <w:bCs/>
        </w:rPr>
        <w:t>Royalties can be based revenue, which is based on price.</w:t>
      </w:r>
    </w:p>
    <w:p w14:paraId="0AD89C72" w14:textId="791B98B2" w:rsidR="00ED1B54" w:rsidRPr="00B53F02" w:rsidRDefault="00ED1B54" w:rsidP="00B53F02">
      <w:pPr>
        <w:pStyle w:val="ListParagraph"/>
        <w:numPr>
          <w:ilvl w:val="0"/>
          <w:numId w:val="25"/>
        </w:numPr>
        <w:rPr>
          <w:bCs/>
        </w:rPr>
      </w:pPr>
      <w:r w:rsidRPr="00B53F02">
        <w:rPr>
          <w:bCs/>
        </w:rPr>
        <w:t>Pharmacy Benefit Managers – obtain rebates (some of which is shared with insurer clients). Rebate revenue increases as prices increase.</w:t>
      </w:r>
      <w:r w:rsidR="00036F80">
        <w:rPr>
          <w:bCs/>
        </w:rPr>
        <w:t xml:space="preserve"> (PBMs do not </w:t>
      </w:r>
      <w:r w:rsidR="00533F30">
        <w:rPr>
          <w:bCs/>
        </w:rPr>
        <w:t xml:space="preserve">finance pharmacy reimbursement, they pay </w:t>
      </w:r>
      <w:r w:rsidR="00753C5C">
        <w:rPr>
          <w:bCs/>
        </w:rPr>
        <w:t>pharmacies,</w:t>
      </w:r>
      <w:r w:rsidR="00533F30">
        <w:rPr>
          <w:bCs/>
        </w:rPr>
        <w:t xml:space="preserve"> but the insurer reimburses the PBMs for that </w:t>
      </w:r>
      <w:r w:rsidR="004C1292">
        <w:rPr>
          <w:bCs/>
        </w:rPr>
        <w:t>pharmacy payment.)</w:t>
      </w:r>
      <w:r w:rsidR="00BE5990">
        <w:rPr>
          <w:bCs/>
        </w:rPr>
        <w:t xml:space="preserve"> </w:t>
      </w:r>
    </w:p>
    <w:p w14:paraId="32F681DB" w14:textId="631C3B90" w:rsidR="00ED1B54" w:rsidRPr="004C1292" w:rsidRDefault="00ED1B54" w:rsidP="004C1292">
      <w:pPr>
        <w:pStyle w:val="ListParagraph"/>
        <w:numPr>
          <w:ilvl w:val="0"/>
          <w:numId w:val="25"/>
        </w:numPr>
        <w:rPr>
          <w:bCs/>
        </w:rPr>
      </w:pPr>
      <w:r w:rsidRPr="004C1292">
        <w:rPr>
          <w:bCs/>
        </w:rPr>
        <w:t>340B Entities (safety net providers and others) – buy low prices drugs through the federal 340B program and ‘sell high’ in charging insurers market rates for dispensed drugs.</w:t>
      </w:r>
      <w:r w:rsidR="00BE5990">
        <w:rPr>
          <w:bCs/>
        </w:rPr>
        <w:t xml:space="preserve"> </w:t>
      </w:r>
      <w:r w:rsidRPr="004C1292">
        <w:rPr>
          <w:bCs/>
        </w:rPr>
        <w:t xml:space="preserve">This is mostly a 340B hospital </w:t>
      </w:r>
      <w:r w:rsidR="006635B8" w:rsidRPr="004C1292">
        <w:rPr>
          <w:bCs/>
        </w:rPr>
        <w:t>phenomena.</w:t>
      </w:r>
    </w:p>
    <w:p w14:paraId="35E06A21" w14:textId="4C2C42C2" w:rsidR="00ED1B54" w:rsidRPr="004C1292" w:rsidRDefault="00ED1B54" w:rsidP="004C1292">
      <w:pPr>
        <w:pStyle w:val="ListParagraph"/>
        <w:numPr>
          <w:ilvl w:val="0"/>
          <w:numId w:val="25"/>
        </w:numPr>
        <w:rPr>
          <w:bCs/>
        </w:rPr>
      </w:pPr>
      <w:r w:rsidRPr="004C1292">
        <w:rPr>
          <w:bCs/>
        </w:rPr>
        <w:t>Pharmacies – chain pharmacies that can purchase large volume</w:t>
      </w:r>
      <w:r w:rsidR="004C1292">
        <w:rPr>
          <w:bCs/>
        </w:rPr>
        <w:t>s</w:t>
      </w:r>
      <w:r w:rsidRPr="004C1292">
        <w:rPr>
          <w:bCs/>
        </w:rPr>
        <w:t xml:space="preserve"> acting as their own distributors</w:t>
      </w:r>
      <w:r w:rsidR="00766AA6">
        <w:rPr>
          <w:bCs/>
        </w:rPr>
        <w:t>.</w:t>
      </w:r>
      <w:r w:rsidRPr="004C1292">
        <w:rPr>
          <w:bCs/>
        </w:rPr>
        <w:t xml:space="preserve"> </w:t>
      </w:r>
    </w:p>
    <w:p w14:paraId="7D5436F9" w14:textId="599F37CB" w:rsidR="00ED1B54" w:rsidRPr="004C1292" w:rsidRDefault="00ED1B54" w:rsidP="004C1292">
      <w:pPr>
        <w:pStyle w:val="ListParagraph"/>
        <w:numPr>
          <w:ilvl w:val="0"/>
          <w:numId w:val="25"/>
        </w:numPr>
        <w:rPr>
          <w:bCs/>
        </w:rPr>
      </w:pPr>
      <w:r w:rsidRPr="004C1292">
        <w:rPr>
          <w:bCs/>
        </w:rPr>
        <w:t>Physician Specialists –</w:t>
      </w:r>
      <w:r w:rsidR="006F31CF" w:rsidRPr="004C1292">
        <w:rPr>
          <w:bCs/>
        </w:rPr>
        <w:t>dependi</w:t>
      </w:r>
      <w:r w:rsidR="006F31CF">
        <w:rPr>
          <w:bCs/>
        </w:rPr>
        <w:t>ng</w:t>
      </w:r>
      <w:r w:rsidRPr="004C1292">
        <w:rPr>
          <w:bCs/>
        </w:rPr>
        <w:t xml:space="preserve"> on the specialty and the insurer reimbursement </w:t>
      </w:r>
      <w:r w:rsidR="00766AA6" w:rsidRPr="004C1292">
        <w:rPr>
          <w:bCs/>
        </w:rPr>
        <w:t>formula.</w:t>
      </w:r>
      <w:r w:rsidR="00BE5990">
        <w:rPr>
          <w:bCs/>
        </w:rPr>
        <w:t xml:space="preserve"> </w:t>
      </w:r>
    </w:p>
    <w:p w14:paraId="3AFA4E67" w14:textId="66546C4A" w:rsidR="00AF4890" w:rsidRPr="00AF4890" w:rsidRDefault="00ED1B54" w:rsidP="00AF4890">
      <w:pPr>
        <w:rPr>
          <w:b/>
          <w:sz w:val="32"/>
          <w:szCs w:val="32"/>
        </w:rPr>
      </w:pPr>
      <w:r w:rsidRPr="00B37718">
        <w:rPr>
          <w:b/>
          <w:color w:val="92D050"/>
          <w:sz w:val="32"/>
          <w:szCs w:val="32"/>
        </w:rPr>
        <w:t xml:space="preserve">Who </w:t>
      </w:r>
      <w:r w:rsidR="001F50B1">
        <w:rPr>
          <w:b/>
          <w:color w:val="92D050"/>
          <w:sz w:val="32"/>
          <w:szCs w:val="32"/>
        </w:rPr>
        <w:t>D</w:t>
      </w:r>
      <w:r w:rsidRPr="00B37718">
        <w:rPr>
          <w:b/>
          <w:color w:val="92D050"/>
          <w:sz w:val="32"/>
          <w:szCs w:val="32"/>
        </w:rPr>
        <w:t xml:space="preserve">oes </w:t>
      </w:r>
      <w:r w:rsidR="001F50B1">
        <w:rPr>
          <w:b/>
          <w:color w:val="92D050"/>
          <w:sz w:val="32"/>
          <w:szCs w:val="32"/>
        </w:rPr>
        <w:t>N</w:t>
      </w:r>
      <w:r w:rsidRPr="00B37718">
        <w:rPr>
          <w:b/>
          <w:color w:val="92D050"/>
          <w:sz w:val="32"/>
          <w:szCs w:val="32"/>
        </w:rPr>
        <w:t xml:space="preserve">ot </w:t>
      </w:r>
      <w:r w:rsidR="001F50B1">
        <w:rPr>
          <w:b/>
          <w:color w:val="92D050"/>
          <w:sz w:val="32"/>
          <w:szCs w:val="32"/>
        </w:rPr>
        <w:t>B</w:t>
      </w:r>
      <w:r w:rsidRPr="00B37718">
        <w:rPr>
          <w:b/>
          <w:color w:val="92D050"/>
          <w:sz w:val="32"/>
          <w:szCs w:val="32"/>
        </w:rPr>
        <w:t xml:space="preserve">enefit from </w:t>
      </w:r>
      <w:r w:rsidR="001F50B1">
        <w:rPr>
          <w:b/>
          <w:color w:val="92D050"/>
          <w:sz w:val="32"/>
          <w:szCs w:val="32"/>
        </w:rPr>
        <w:t>H</w:t>
      </w:r>
      <w:r w:rsidRPr="00B37718">
        <w:rPr>
          <w:b/>
          <w:color w:val="92D050"/>
          <w:sz w:val="32"/>
          <w:szCs w:val="32"/>
        </w:rPr>
        <w:t xml:space="preserve">igh </w:t>
      </w:r>
      <w:r w:rsidR="001F50B1">
        <w:rPr>
          <w:b/>
          <w:color w:val="92D050"/>
          <w:sz w:val="32"/>
          <w:szCs w:val="32"/>
        </w:rPr>
        <w:t>D</w:t>
      </w:r>
      <w:r w:rsidRPr="00B37718">
        <w:rPr>
          <w:b/>
          <w:color w:val="92D050"/>
          <w:sz w:val="32"/>
          <w:szCs w:val="32"/>
        </w:rPr>
        <w:t xml:space="preserve">rug </w:t>
      </w:r>
      <w:r w:rsidR="001F50B1">
        <w:rPr>
          <w:b/>
          <w:color w:val="92D050"/>
          <w:sz w:val="32"/>
          <w:szCs w:val="32"/>
        </w:rPr>
        <w:t>P</w:t>
      </w:r>
      <w:r w:rsidRPr="00B37718">
        <w:rPr>
          <w:b/>
          <w:color w:val="92D050"/>
          <w:sz w:val="32"/>
          <w:szCs w:val="32"/>
        </w:rPr>
        <w:t xml:space="preserve">rices? </w:t>
      </w:r>
    </w:p>
    <w:p w14:paraId="2F9E96A4" w14:textId="77777777" w:rsidR="00AF4890" w:rsidRPr="00B448C2" w:rsidRDefault="00AF4890" w:rsidP="00AF4890">
      <w:pPr>
        <w:pStyle w:val="ListParagraph"/>
        <w:numPr>
          <w:ilvl w:val="0"/>
          <w:numId w:val="26"/>
        </w:numPr>
        <w:rPr>
          <w:bCs/>
        </w:rPr>
      </w:pPr>
      <w:r w:rsidRPr="00B448C2">
        <w:rPr>
          <w:bCs/>
        </w:rPr>
        <w:t>Patients – Cost sharing for insured patients is based on the market price.</w:t>
      </w:r>
      <w:r>
        <w:rPr>
          <w:bCs/>
        </w:rPr>
        <w:t xml:space="preserve"> </w:t>
      </w:r>
      <w:r w:rsidRPr="00B448C2">
        <w:rPr>
          <w:bCs/>
        </w:rPr>
        <w:t>Uninsured also pay market prices.</w:t>
      </w:r>
    </w:p>
    <w:p w14:paraId="4DC303C0" w14:textId="5B753836" w:rsidR="00ED1B54" w:rsidRPr="00B448C2" w:rsidRDefault="00ED1B54" w:rsidP="00B448C2">
      <w:pPr>
        <w:pStyle w:val="ListParagraph"/>
        <w:numPr>
          <w:ilvl w:val="0"/>
          <w:numId w:val="26"/>
        </w:numPr>
        <w:rPr>
          <w:bCs/>
        </w:rPr>
      </w:pPr>
      <w:r w:rsidRPr="00B448C2">
        <w:rPr>
          <w:bCs/>
        </w:rPr>
        <w:t>Insurers -- High patient out of pocket costs are a symptom of the problem, not the problem.</w:t>
      </w:r>
      <w:r w:rsidR="00BE5990">
        <w:rPr>
          <w:bCs/>
        </w:rPr>
        <w:t xml:space="preserve"> </w:t>
      </w:r>
      <w:r w:rsidR="00333710" w:rsidRPr="00B448C2">
        <w:rPr>
          <w:bCs/>
        </w:rPr>
        <w:t xml:space="preserve">Rebates offset the high cost of drugs, </w:t>
      </w:r>
      <w:r w:rsidR="00BE4B24" w:rsidRPr="00B448C2">
        <w:rPr>
          <w:bCs/>
        </w:rPr>
        <w:t>but higher prices with higher rebates does not</w:t>
      </w:r>
      <w:r w:rsidR="000B2ADC" w:rsidRPr="00B448C2">
        <w:rPr>
          <w:bCs/>
        </w:rPr>
        <w:t xml:space="preserve"> make the net expense more affordable</w:t>
      </w:r>
      <w:r w:rsidR="00BE4B24" w:rsidRPr="00B448C2">
        <w:rPr>
          <w:bCs/>
        </w:rPr>
        <w:t>.</w:t>
      </w:r>
    </w:p>
    <w:p w14:paraId="6A9DF71F" w14:textId="204F0DFB" w:rsidR="001776C7" w:rsidRPr="00B448C2" w:rsidRDefault="001776C7" w:rsidP="00B448C2">
      <w:pPr>
        <w:pStyle w:val="ListParagraph"/>
        <w:numPr>
          <w:ilvl w:val="0"/>
          <w:numId w:val="26"/>
        </w:numPr>
        <w:rPr>
          <w:bCs/>
        </w:rPr>
      </w:pPr>
      <w:r w:rsidRPr="00B448C2">
        <w:rPr>
          <w:bCs/>
        </w:rPr>
        <w:t>Government Health Programs</w:t>
      </w:r>
      <w:r w:rsidR="00ED1B54" w:rsidRPr="00B448C2">
        <w:rPr>
          <w:bCs/>
        </w:rPr>
        <w:t xml:space="preserve"> – state employee benefits, corrections, even Medicaid </w:t>
      </w:r>
      <w:r w:rsidR="00A754DE">
        <w:rPr>
          <w:bCs/>
        </w:rPr>
        <w:t>which</w:t>
      </w:r>
      <w:r w:rsidR="00ED1B54" w:rsidRPr="00B448C2">
        <w:rPr>
          <w:bCs/>
        </w:rPr>
        <w:t xml:space="preserve"> benefits from rebates but still reimburses pharmacies and other providers at market rates.</w:t>
      </w:r>
      <w:r w:rsidR="00BE5990">
        <w:rPr>
          <w:bCs/>
        </w:rPr>
        <w:t xml:space="preserve"> </w:t>
      </w:r>
    </w:p>
    <w:p w14:paraId="196708A4" w14:textId="1C1D0221" w:rsidR="0094543D" w:rsidRPr="002B5313" w:rsidRDefault="0094543D" w:rsidP="00803A7C">
      <w:pPr>
        <w:rPr>
          <w:color w:val="9966FF"/>
          <w:sz w:val="32"/>
          <w:szCs w:val="32"/>
        </w:rPr>
      </w:pPr>
      <w:r w:rsidRPr="002B5313">
        <w:rPr>
          <w:color w:val="9966FF"/>
          <w:sz w:val="32"/>
          <w:szCs w:val="32"/>
        </w:rPr>
        <w:t xml:space="preserve">Industry Focus on Stock Price </w:t>
      </w:r>
    </w:p>
    <w:p w14:paraId="507C543E" w14:textId="2ECB3444" w:rsidR="00637358" w:rsidRDefault="00BB026B" w:rsidP="00803A7C">
      <w:r>
        <w:t xml:space="preserve">The industry </w:t>
      </w:r>
      <w:r w:rsidR="00A754DE">
        <w:t xml:space="preserve">is </w:t>
      </w:r>
      <w:r w:rsidR="002E0D9B">
        <w:t xml:space="preserve">laser </w:t>
      </w:r>
      <w:r>
        <w:t>focus</w:t>
      </w:r>
      <w:r w:rsidR="002E0D9B">
        <w:t>ed on</w:t>
      </w:r>
      <w:r>
        <w:t xml:space="preserve"> maintaining and increasing their stock price</w:t>
      </w:r>
      <w:r w:rsidR="000445A2">
        <w:t>.</w:t>
      </w:r>
      <w:r w:rsidR="00BE5990">
        <w:t xml:space="preserve"> </w:t>
      </w:r>
      <w:r w:rsidR="000445A2">
        <w:t>This has lots of ramifications for society and patients.</w:t>
      </w:r>
      <w:r w:rsidR="00BE5990">
        <w:t xml:space="preserve"> </w:t>
      </w:r>
      <w:r w:rsidR="00792F69">
        <w:t xml:space="preserve">Industry </w:t>
      </w:r>
      <w:r w:rsidR="000445A2">
        <w:t>CEO and C-suite le</w:t>
      </w:r>
      <w:r w:rsidR="00792F69">
        <w:t xml:space="preserve">adership compensation is </w:t>
      </w:r>
      <w:r w:rsidR="00043D1A">
        <w:t>tied t</w:t>
      </w:r>
      <w:r w:rsidR="00792F69">
        <w:t xml:space="preserve">o stock </w:t>
      </w:r>
      <w:r w:rsidR="000216D1">
        <w:t>price</w:t>
      </w:r>
      <w:r w:rsidR="003B251C">
        <w:t xml:space="preserve"> and stock grants are </w:t>
      </w:r>
      <w:r w:rsidR="0046148B">
        <w:t>a significant</w:t>
      </w:r>
      <w:r w:rsidR="00516C97">
        <w:t xml:space="preserve"> part of executive compensation</w:t>
      </w:r>
      <w:r w:rsidR="000216D1">
        <w:t>.</w:t>
      </w:r>
      <w:r w:rsidR="00EF0DB4">
        <w:t xml:space="preserve"> </w:t>
      </w:r>
      <w:r w:rsidR="000216D1">
        <w:t xml:space="preserve">Wall Street </w:t>
      </w:r>
      <w:r w:rsidR="00926216">
        <w:t xml:space="preserve">seems to </w:t>
      </w:r>
      <w:r w:rsidR="000216D1">
        <w:t xml:space="preserve">reward high prices </w:t>
      </w:r>
      <w:r w:rsidR="00B34297">
        <w:t>more than low prices and price increases more than strong sales.</w:t>
      </w:r>
      <w:r w:rsidR="00BE5990">
        <w:t xml:space="preserve"> </w:t>
      </w:r>
    </w:p>
    <w:p w14:paraId="22C5276B" w14:textId="6E185A43" w:rsidR="00DF2179" w:rsidRPr="006664E7" w:rsidRDefault="007D57DB" w:rsidP="00803A7C">
      <w:pPr>
        <w:rPr>
          <w:color w:val="FF9900"/>
          <w:sz w:val="32"/>
          <w:szCs w:val="32"/>
        </w:rPr>
      </w:pPr>
      <w:r w:rsidRPr="006664E7">
        <w:rPr>
          <w:color w:val="FF9900"/>
          <w:sz w:val="32"/>
          <w:szCs w:val="32"/>
        </w:rPr>
        <w:t>I</w:t>
      </w:r>
      <w:r w:rsidR="00DF2179" w:rsidRPr="006664E7">
        <w:rPr>
          <w:color w:val="FF9900"/>
          <w:sz w:val="32"/>
          <w:szCs w:val="32"/>
        </w:rPr>
        <w:t>ndustry Business Model Built on Price and Price Increases, Not Sales Volume</w:t>
      </w:r>
    </w:p>
    <w:p w14:paraId="28F7D68B" w14:textId="4A90E217" w:rsidR="008E10C0" w:rsidRDefault="007002D4" w:rsidP="00803A7C">
      <w:r w:rsidRPr="002B5313">
        <w:rPr>
          <w:noProof/>
          <w:color w:val="9966FF"/>
        </w:rPr>
        <mc:AlternateContent>
          <mc:Choice Requires="wpg">
            <w:drawing>
              <wp:anchor distT="45720" distB="45720" distL="182880" distR="182880" simplePos="0" relativeHeight="251663360" behindDoc="0" locked="0" layoutInCell="1" allowOverlap="1" wp14:anchorId="260DC38C" wp14:editId="33AC31DB">
                <wp:simplePos x="0" y="0"/>
                <wp:positionH relativeFrom="margin">
                  <wp:posOffset>66675</wp:posOffset>
                </wp:positionH>
                <wp:positionV relativeFrom="margin">
                  <wp:posOffset>6219825</wp:posOffset>
                </wp:positionV>
                <wp:extent cx="6042660" cy="13335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042660" cy="1333500"/>
                          <a:chOff x="0" y="0"/>
                          <a:chExt cx="3567448" cy="2227785"/>
                        </a:xfrm>
                      </wpg:grpSpPr>
                      <wps:wsp>
                        <wps:cNvPr id="3" name="Rectangle 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50FF6" w14:textId="77777777" w:rsidR="007F2728" w:rsidRDefault="007F272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92"/>
                            <a:ext cx="3567448" cy="1975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1B64" w14:textId="111776D7" w:rsidR="00D15A65" w:rsidRPr="00D15A65" w:rsidRDefault="00D15A65" w:rsidP="00D14709">
                              <w:pPr>
                                <w:rPr>
                                  <w:caps/>
                                  <w:color w:val="9966FF"/>
                                  <w:sz w:val="18"/>
                                  <w:szCs w:val="18"/>
                                </w:rPr>
                              </w:pPr>
                              <w:r w:rsidRPr="00D15A65">
                                <w:rPr>
                                  <w:caps/>
                                  <w:color w:val="9966FF"/>
                                  <w:sz w:val="18"/>
                                  <w:szCs w:val="18"/>
                                </w:rPr>
                                <w:t>“The biggest pharmaceutical companies count on multibillion-dollar drugs to fund their expensive research units and justify high share prices. But now investors want more, demanding that companies queue up the next crop of top products before the current generation even hits peak profitability.” (</w:t>
                              </w:r>
                              <w:r w:rsidRPr="00D15A65">
                                <w:rPr>
                                  <w:i/>
                                  <w:iCs/>
                                  <w:caps/>
                                  <w:color w:val="9966FF"/>
                                  <w:sz w:val="18"/>
                                  <w:szCs w:val="18"/>
                                </w:rPr>
                                <w:t>Bloomberg News 1/11/2019)</w:t>
                              </w:r>
                            </w:p>
                            <w:p w14:paraId="40B997E8" w14:textId="5A9DB73C" w:rsidR="00D15A65" w:rsidRPr="00D15A65" w:rsidRDefault="00D15A65" w:rsidP="00D14709">
                              <w:pPr>
                                <w:rPr>
                                  <w:caps/>
                                  <w:color w:val="9966FF"/>
                                  <w:sz w:val="18"/>
                                  <w:szCs w:val="18"/>
                                </w:rPr>
                              </w:pPr>
                              <w:r w:rsidRPr="00D15A65">
                                <w:rPr>
                                  <w:caps/>
                                  <w:color w:val="9966FF"/>
                                  <w:sz w:val="18"/>
                                  <w:szCs w:val="18"/>
                                </w:rPr>
                                <w:t>Analysts recently warned investors that Moderna ma</w:t>
                              </w:r>
                              <w:r w:rsidR="0067775F">
                                <w:rPr>
                                  <w:caps/>
                                  <w:color w:val="9966FF"/>
                                  <w:sz w:val="18"/>
                                  <w:szCs w:val="18"/>
                                </w:rPr>
                                <w:t>y</w:t>
                              </w:r>
                              <w:r w:rsidRPr="00D15A65">
                                <w:rPr>
                                  <w:caps/>
                                  <w:color w:val="9966FF"/>
                                  <w:sz w:val="18"/>
                                  <w:szCs w:val="18"/>
                                </w:rPr>
                                <w:t xml:space="preserve"> not make as much money on C</w:t>
                              </w:r>
                              <w:r w:rsidR="0067775F">
                                <w:rPr>
                                  <w:caps/>
                                  <w:color w:val="9966FF"/>
                                  <w:sz w:val="18"/>
                                  <w:szCs w:val="18"/>
                                </w:rPr>
                                <w:t>ovid</w:t>
                              </w:r>
                              <w:r w:rsidR="00BE5990">
                                <w:rPr>
                                  <w:caps/>
                                  <w:color w:val="9966FF"/>
                                  <w:sz w:val="18"/>
                                  <w:szCs w:val="18"/>
                                </w:rPr>
                                <w:t xml:space="preserve"> </w:t>
                              </w:r>
                              <w:r w:rsidRPr="00D15A65">
                                <w:rPr>
                                  <w:caps/>
                                  <w:color w:val="9966FF"/>
                                  <w:sz w:val="18"/>
                                  <w:szCs w:val="18"/>
                                </w:rPr>
                                <w:t>vaccines as analysts predicted 4 months ago. (Fierce Pharma 9/8/2020)</w:t>
                              </w:r>
                            </w:p>
                            <w:p w14:paraId="5F222350" w14:textId="4AB807FE" w:rsidR="007F2728" w:rsidRDefault="007F2728">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DC38C" id="Group 2" o:spid="_x0000_s1030" style="position:absolute;margin-left:5.25pt;margin-top:489.75pt;width:475.8pt;height:105pt;z-index:251663360;mso-wrap-distance-left:14.4pt;mso-wrap-distance-top:3.6pt;mso-wrap-distance-right:14.4pt;mso-wrap-distance-bottom:3.6pt;mso-position-horizontal-relative:margin;mso-position-vertical-relative:margin;mso-width-relative:margin;mso-height-relative:margin" coordsize="35674,2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">
                <v:rect id="Rectangle 3"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v:textbox>
                    <w:txbxContent>
                      <w:p w14:paraId="2B650FF6" w14:textId="77777777" w:rsidR="007F2728" w:rsidRDefault="007F2728">
                        <w:pPr>
                          <w:jc w:val="center"/>
                          <w:rPr>
                            <w:rFonts w:asciiTheme="majorHAnsi" w:eastAsiaTheme="majorEastAsia" w:hAnsiTheme="majorHAnsi" w:cstheme="majorBidi"/>
                            <w:color w:val="FFFFFF" w:themeColor="background1"/>
                            <w:sz w:val="24"/>
                            <w:szCs w:val="28"/>
                          </w:rPr>
                        </w:pPr>
                      </w:p>
                    </w:txbxContent>
                  </v:textbox>
                </v:rect>
                <v:shape id="Text Box 4" o:spid="_x0000_s1032" type="#_x0000_t202" style="position:absolute;top:2526;width:35674;height:19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2ABA1B64" w14:textId="111776D7" w:rsidR="00D15A65" w:rsidRPr="00D15A65" w:rsidRDefault="00D15A65" w:rsidP="00D14709">
                        <w:pPr>
                          <w:rPr>
                            <w:caps/>
                            <w:color w:val="9966FF"/>
                            <w:sz w:val="18"/>
                            <w:szCs w:val="18"/>
                          </w:rPr>
                        </w:pPr>
                        <w:r w:rsidRPr="00D15A65">
                          <w:rPr>
                            <w:caps/>
                            <w:color w:val="9966FF"/>
                            <w:sz w:val="18"/>
                            <w:szCs w:val="18"/>
                          </w:rPr>
                          <w:t>“The biggest pharmaceutical companies count on multibillion-dollar drugs to fund their expensive research units and justify high share prices. But now investors want more, demanding that companies queue up the next crop of top products before the current generation even hits peak profitability.” (</w:t>
                        </w:r>
                        <w:r w:rsidRPr="00D15A65">
                          <w:rPr>
                            <w:i/>
                            <w:iCs/>
                            <w:caps/>
                            <w:color w:val="9966FF"/>
                            <w:sz w:val="18"/>
                            <w:szCs w:val="18"/>
                          </w:rPr>
                          <w:t>Bloomberg News 1/11/2019)</w:t>
                        </w:r>
                      </w:p>
                      <w:p w14:paraId="40B997E8" w14:textId="5A9DB73C" w:rsidR="00D15A65" w:rsidRPr="00D15A65" w:rsidRDefault="00D15A65" w:rsidP="00D14709">
                        <w:pPr>
                          <w:rPr>
                            <w:caps/>
                            <w:color w:val="9966FF"/>
                            <w:sz w:val="18"/>
                            <w:szCs w:val="18"/>
                          </w:rPr>
                        </w:pPr>
                        <w:r w:rsidRPr="00D15A65">
                          <w:rPr>
                            <w:caps/>
                            <w:color w:val="9966FF"/>
                            <w:sz w:val="18"/>
                            <w:szCs w:val="18"/>
                          </w:rPr>
                          <w:t>Analysts recently warned investors that Moderna ma</w:t>
                        </w:r>
                        <w:r w:rsidR="0067775F">
                          <w:rPr>
                            <w:caps/>
                            <w:color w:val="9966FF"/>
                            <w:sz w:val="18"/>
                            <w:szCs w:val="18"/>
                          </w:rPr>
                          <w:t>y</w:t>
                        </w:r>
                        <w:r w:rsidRPr="00D15A65">
                          <w:rPr>
                            <w:caps/>
                            <w:color w:val="9966FF"/>
                            <w:sz w:val="18"/>
                            <w:szCs w:val="18"/>
                          </w:rPr>
                          <w:t xml:space="preserve"> not make as much money on C</w:t>
                        </w:r>
                        <w:r w:rsidR="0067775F">
                          <w:rPr>
                            <w:caps/>
                            <w:color w:val="9966FF"/>
                            <w:sz w:val="18"/>
                            <w:szCs w:val="18"/>
                          </w:rPr>
                          <w:t>ovid</w:t>
                        </w:r>
                        <w:r w:rsidR="00BE5990">
                          <w:rPr>
                            <w:caps/>
                            <w:color w:val="9966FF"/>
                            <w:sz w:val="18"/>
                            <w:szCs w:val="18"/>
                          </w:rPr>
                          <w:t xml:space="preserve"> </w:t>
                        </w:r>
                        <w:r w:rsidRPr="00D15A65">
                          <w:rPr>
                            <w:caps/>
                            <w:color w:val="9966FF"/>
                            <w:sz w:val="18"/>
                            <w:szCs w:val="18"/>
                          </w:rPr>
                          <w:t>vaccines as analysts predicted 4 months ago. (Fierce Pharma 9/8/2020)</w:t>
                        </w:r>
                      </w:p>
                      <w:p w14:paraId="5F222350" w14:textId="4AB807FE" w:rsidR="007F2728" w:rsidRDefault="007F2728">
                        <w:pPr>
                          <w:rPr>
                            <w:caps/>
                            <w:color w:val="4472C4" w:themeColor="accent1"/>
                            <w:sz w:val="26"/>
                            <w:szCs w:val="26"/>
                          </w:rPr>
                        </w:pPr>
                      </w:p>
                    </w:txbxContent>
                  </v:textbox>
                </v:shape>
                <w10:wrap type="square" anchorx="margin" anchory="margin"/>
              </v:group>
            </w:pict>
          </mc:Fallback>
        </mc:AlternateContent>
      </w:r>
      <w:r w:rsidR="000D0ACE">
        <w:t>A 201</w:t>
      </w:r>
      <w:r w:rsidR="002B37BB">
        <w:t>8</w:t>
      </w:r>
      <w:r w:rsidR="000D0ACE">
        <w:t xml:space="preserve"> BCBS Intelligence </w:t>
      </w:r>
      <w:r w:rsidR="002B37BB">
        <w:t>R</w:t>
      </w:r>
      <w:r w:rsidR="00B612FF">
        <w:t>eport found</w:t>
      </w:r>
      <w:r w:rsidR="000D0ACE">
        <w:t xml:space="preserve"> that among enrollees</w:t>
      </w:r>
      <w:r w:rsidR="00BD74FB">
        <w:t>,</w:t>
      </w:r>
      <w:r w:rsidR="000D0ACE">
        <w:t xml:space="preserve"> </w:t>
      </w:r>
      <w:r w:rsidR="00484019">
        <w:t xml:space="preserve">utilization of brand drugs </w:t>
      </w:r>
      <w:r w:rsidR="000D0ACE" w:rsidRPr="005D1582">
        <w:rPr>
          <w:i/>
          <w:iCs/>
        </w:rPr>
        <w:t xml:space="preserve">declined </w:t>
      </w:r>
      <w:r w:rsidR="000D0ACE">
        <w:t>annually by 6%</w:t>
      </w:r>
      <w:r w:rsidR="00B612FF">
        <w:t xml:space="preserve"> while</w:t>
      </w:r>
      <w:r w:rsidR="000D0ACE">
        <w:t xml:space="preserve"> </w:t>
      </w:r>
      <w:r w:rsidR="00235C7C">
        <w:t xml:space="preserve">net spending on brand products </w:t>
      </w:r>
      <w:r w:rsidR="00235C7C" w:rsidRPr="005D1582">
        <w:rPr>
          <w:i/>
          <w:iCs/>
        </w:rPr>
        <w:t xml:space="preserve">increased </w:t>
      </w:r>
      <w:r w:rsidR="00235C7C">
        <w:t xml:space="preserve">annually at 10% due to </w:t>
      </w:r>
      <w:r w:rsidR="005D1582">
        <w:t xml:space="preserve">average </w:t>
      </w:r>
      <w:r w:rsidR="00235C7C">
        <w:t>brand drug price increases of 17%.</w:t>
      </w:r>
      <w:r w:rsidR="00BE5990">
        <w:t xml:space="preserve">  </w:t>
      </w:r>
      <w:r w:rsidR="00E41364">
        <w:t xml:space="preserve">More recently, the medical journal, </w:t>
      </w:r>
      <w:hyperlink r:id="rId14" w:history="1">
        <w:r w:rsidR="00E41364" w:rsidRPr="00603338">
          <w:rPr>
            <w:rStyle w:val="Hyperlink"/>
            <w:i/>
            <w:iCs/>
          </w:rPr>
          <w:t>Neurology</w:t>
        </w:r>
      </w:hyperlink>
      <w:r w:rsidR="005A5699" w:rsidRPr="005A5699">
        <w:rPr>
          <w:i/>
          <w:iCs/>
        </w:rPr>
        <w:t>,</w:t>
      </w:r>
      <w:r w:rsidR="005A5699">
        <w:t xml:space="preserve"> found that</w:t>
      </w:r>
      <w:r w:rsidR="00D42E37">
        <w:t xml:space="preserve"> Medicare spending for </w:t>
      </w:r>
      <w:r w:rsidR="007F6BA6">
        <w:t xml:space="preserve">neurological conditions grew 50% </w:t>
      </w:r>
      <w:r w:rsidR="00685762">
        <w:t xml:space="preserve">between 2013 and 2017 but the number of prescriptions grew only 8%.  </w:t>
      </w:r>
      <w:r w:rsidR="00F34A69">
        <w:t>T</w:t>
      </w:r>
      <w:r w:rsidR="005D1582">
        <w:t xml:space="preserve">here </w:t>
      </w:r>
      <w:r w:rsidR="007D218D">
        <w:t xml:space="preserve">is a growing body of literature about this phenomenon, including most recently </w:t>
      </w:r>
      <w:r w:rsidR="00BA7114">
        <w:t xml:space="preserve">a </w:t>
      </w:r>
      <w:r w:rsidR="00BA7114">
        <w:lastRenderedPageBreak/>
        <w:t xml:space="preserve">congressional report that found that Teva and Celgene repeatedly raised prices </w:t>
      </w:r>
      <w:r w:rsidR="00C01B41">
        <w:t xml:space="preserve">to hit revenue targets and meet Wall Street expectations – </w:t>
      </w:r>
      <w:r w:rsidR="002B433F">
        <w:t xml:space="preserve">representative of an </w:t>
      </w:r>
      <w:r w:rsidR="00C01B41">
        <w:t>industry</w:t>
      </w:r>
      <w:r w:rsidR="002B433F">
        <w:t xml:space="preserve"> that</w:t>
      </w:r>
      <w:r w:rsidR="00C01B41">
        <w:t xml:space="preserve"> relies on high prices and price hikes to produce revenues.</w:t>
      </w:r>
      <w:r w:rsidR="00BE5990">
        <w:t xml:space="preserve"> </w:t>
      </w:r>
      <w:r w:rsidR="00C01B41">
        <w:t xml:space="preserve">The old business model was to </w:t>
      </w:r>
      <w:r w:rsidR="0035311E" w:rsidRPr="0035311E">
        <w:rPr>
          <w:i/>
          <w:iCs/>
        </w:rPr>
        <w:t>sell</w:t>
      </w:r>
      <w:r w:rsidR="00C01B41">
        <w:t xml:space="preserve"> mo</w:t>
      </w:r>
      <w:r w:rsidR="0035311E">
        <w:t>r</w:t>
      </w:r>
      <w:r w:rsidR="00C01B41">
        <w:t>e drugs</w:t>
      </w:r>
      <w:r w:rsidR="0035311E">
        <w:t>,</w:t>
      </w:r>
      <w:r w:rsidR="00C01B41">
        <w:t xml:space="preserve"> which meant that prices had to be reasonable </w:t>
      </w:r>
      <w:r w:rsidR="005B26D9">
        <w:t>to</w:t>
      </w:r>
      <w:r w:rsidR="00C01B41">
        <w:t xml:space="preserve"> hit </w:t>
      </w:r>
      <w:r w:rsidR="0035311E">
        <w:t>sales</w:t>
      </w:r>
      <w:r w:rsidR="00C01B41">
        <w:t xml:space="preserve"> targets. </w:t>
      </w:r>
      <w:r w:rsidR="00F75693">
        <w:t xml:space="preserve">It used to be that increasing </w:t>
      </w:r>
      <w:r w:rsidR="0035311E">
        <w:t>sales</w:t>
      </w:r>
      <w:r w:rsidR="00F75693">
        <w:t xml:space="preserve"> produced</w:t>
      </w:r>
      <w:r w:rsidR="0035311E">
        <w:t xml:space="preserve"> the</w:t>
      </w:r>
      <w:r w:rsidR="00F75693">
        <w:t xml:space="preserve"> revenue.</w:t>
      </w:r>
      <w:r w:rsidR="00BE5990">
        <w:t xml:space="preserve"> </w:t>
      </w:r>
      <w:r w:rsidR="00F75693">
        <w:t>Today, price</w:t>
      </w:r>
      <w:r w:rsidR="00EA058F">
        <w:t xml:space="preserve">s and price increases </w:t>
      </w:r>
      <w:r w:rsidR="00F75693">
        <w:t>produce the revenues</w:t>
      </w:r>
      <w:r w:rsidR="00EA058F">
        <w:t xml:space="preserve"> even at the expense of reduced sales</w:t>
      </w:r>
      <w:r w:rsidR="00F75693">
        <w:t>.</w:t>
      </w:r>
      <w:r w:rsidR="00BE5990">
        <w:t xml:space="preserve"> </w:t>
      </w:r>
    </w:p>
    <w:p w14:paraId="14CBC3CC" w14:textId="43A3DF20" w:rsidR="008E10C0" w:rsidRDefault="008C312F" w:rsidP="00803A7C">
      <w:r>
        <w:t>Wall Street rewards high prices and price increases</w:t>
      </w:r>
      <w:r w:rsidR="002F3078">
        <w:t xml:space="preserve">.  Unfortunately, </w:t>
      </w:r>
      <w:r>
        <w:t>the PBM business model</w:t>
      </w:r>
      <w:r w:rsidR="00887177">
        <w:t>,</w:t>
      </w:r>
      <w:r w:rsidR="006C38A3">
        <w:t xml:space="preserve"> hospital business model</w:t>
      </w:r>
      <w:r w:rsidR="00B20917">
        <w:t>s</w:t>
      </w:r>
      <w:r w:rsidR="00331A2E">
        <w:t>, and chain pharmacy business models</w:t>
      </w:r>
      <w:r w:rsidR="006C38A3">
        <w:t xml:space="preserve"> </w:t>
      </w:r>
      <w:r>
        <w:t xml:space="preserve">reinforce the </w:t>
      </w:r>
      <w:r w:rsidR="00CC52ED">
        <w:t>incentive</w:t>
      </w:r>
      <w:r>
        <w:t xml:space="preserve"> for high prices</w:t>
      </w:r>
      <w:r w:rsidR="00A04817">
        <w:t>. T</w:t>
      </w:r>
      <w:r w:rsidR="00241031">
        <w:t xml:space="preserve">he recent US Senate Finance Committee </w:t>
      </w:r>
      <w:hyperlink r:id="rId15" w:history="1">
        <w:r w:rsidR="00241031" w:rsidRPr="00CC52ED">
          <w:rPr>
            <w:rStyle w:val="Hyperlink"/>
          </w:rPr>
          <w:t>investigation</w:t>
        </w:r>
      </w:hyperlink>
      <w:r w:rsidR="00241031">
        <w:t xml:space="preserve"> into insulin pricing </w:t>
      </w:r>
      <w:r w:rsidR="0025638E">
        <w:t xml:space="preserve">highlights the variety of misaligned incentives that benefit </w:t>
      </w:r>
      <w:r w:rsidR="00222A8E">
        <w:t xml:space="preserve">the participants in the pharmaceutical market but undeniably harm patients.  </w:t>
      </w:r>
      <w:r w:rsidR="00BE5990">
        <w:t xml:space="preserve"> </w:t>
      </w:r>
    </w:p>
    <w:p w14:paraId="374BA850" w14:textId="1B2FC5C1" w:rsidR="00D3014C" w:rsidRPr="00D3014C" w:rsidRDefault="0078735C" w:rsidP="00803A7C">
      <w:r>
        <w:rPr>
          <w:noProof/>
        </w:rPr>
        <mc:AlternateContent>
          <mc:Choice Requires="wps">
            <w:drawing>
              <wp:anchor distT="91440" distB="91440" distL="114300" distR="114300" simplePos="0" relativeHeight="251665408" behindDoc="0" locked="0" layoutInCell="1" allowOverlap="1" wp14:anchorId="7B16F1FD" wp14:editId="3CBC1A78">
                <wp:simplePos x="0" y="0"/>
                <wp:positionH relativeFrom="page">
                  <wp:posOffset>847725</wp:posOffset>
                </wp:positionH>
                <wp:positionV relativeFrom="paragraph">
                  <wp:posOffset>1737995</wp:posOffset>
                </wp:positionV>
                <wp:extent cx="6496050" cy="12096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09675"/>
                        </a:xfrm>
                        <a:prstGeom prst="rect">
                          <a:avLst/>
                        </a:prstGeom>
                        <a:noFill/>
                        <a:ln w="9525">
                          <a:noFill/>
                          <a:miter lim="800000"/>
                          <a:headEnd/>
                          <a:tailEnd/>
                        </a:ln>
                      </wps:spPr>
                      <wps:txbx>
                        <w:txbxContent>
                          <w:p w14:paraId="11E5CB12" w14:textId="24614E0A" w:rsidR="00C13AE4" w:rsidRPr="00C13AE4" w:rsidRDefault="00C13AE4" w:rsidP="00591208">
                            <w:pPr>
                              <w:pBdr>
                                <w:top w:val="single" w:sz="24" w:space="6" w:color="4472C4" w:themeColor="accent1"/>
                                <w:bottom w:val="single" w:sz="24" w:space="8" w:color="4472C4" w:themeColor="accent1"/>
                              </w:pBdr>
                              <w:rPr>
                                <w:i/>
                                <w:iCs/>
                                <w:color w:val="4472C4" w:themeColor="accent1"/>
                                <w:sz w:val="18"/>
                                <w:szCs w:val="18"/>
                              </w:rPr>
                            </w:pPr>
                            <w:r w:rsidRPr="00C13AE4">
                              <w:rPr>
                                <w:b/>
                                <w:bCs/>
                                <w:i/>
                                <w:iCs/>
                                <w:color w:val="4472C4" w:themeColor="accent1"/>
                                <w:sz w:val="18"/>
                                <w:szCs w:val="18"/>
                              </w:rPr>
                              <w:t xml:space="preserve">Does competition equal lower prices? MS drugs defied cost logic as challengers swarmed in </w:t>
                            </w:r>
                          </w:p>
                          <w:p w14:paraId="523B86FB" w14:textId="77777777"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 xml:space="preserve">Once only a small group of competitors, the field for multiple sclerosis (MS) therapies has exploded in recent years: By 2016, the number of approved drugs had nearly tripled in just seven years. </w:t>
                            </w:r>
                            <w:proofErr w:type="gramStart"/>
                            <w:r w:rsidRPr="00C13AE4">
                              <w:rPr>
                                <w:i/>
                                <w:iCs/>
                                <w:color w:val="4472C4" w:themeColor="accent1"/>
                                <w:sz w:val="18"/>
                                <w:szCs w:val="18"/>
                              </w:rPr>
                              <w:t>That’s</w:t>
                            </w:r>
                            <w:proofErr w:type="gramEnd"/>
                            <w:r w:rsidRPr="00C13AE4">
                              <w:rPr>
                                <w:i/>
                                <w:iCs/>
                                <w:color w:val="4472C4" w:themeColor="accent1"/>
                                <w:sz w:val="18"/>
                                <w:szCs w:val="18"/>
                              </w:rPr>
                              <w:t xml:space="preserve"> speedy growth, but something else grew faster—those drugs’ list prices.</w:t>
                            </w:r>
                          </w:p>
                          <w:p w14:paraId="22800DFC" w14:textId="519D09FA"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The average price of self-administered disease-modifying therapies for MS quadrupled between 2006 and 2016 as a rush of competitors flooded the market, according to a new study published in JAMA Neurology.</w:t>
                            </w:r>
                            <w:r>
                              <w:rPr>
                                <w:i/>
                                <w:iCs/>
                                <w:color w:val="4472C4" w:themeColor="accent1"/>
                                <w:sz w:val="18"/>
                                <w:szCs w:val="18"/>
                              </w:rPr>
                              <w:t xml:space="preserve"> </w:t>
                            </w:r>
                            <w:r w:rsidRPr="00C13AE4">
                              <w:rPr>
                                <w:i/>
                                <w:iCs/>
                                <w:color w:val="4472C4" w:themeColor="accent1"/>
                                <w:sz w:val="18"/>
                                <w:szCs w:val="18"/>
                              </w:rPr>
                              <w:t xml:space="preserve">by </w:t>
                            </w:r>
                            <w:hyperlink r:id="rId16" w:history="1">
                              <w:r w:rsidRPr="00C13AE4">
                                <w:rPr>
                                  <w:rStyle w:val="Hyperlink"/>
                                  <w:i/>
                                  <w:iCs/>
                                  <w:sz w:val="18"/>
                                  <w:szCs w:val="18"/>
                                </w:rPr>
                                <w:t>Kyle Blankenship</w:t>
                              </w:r>
                            </w:hyperlink>
                            <w:r w:rsidRPr="00C13AE4">
                              <w:rPr>
                                <w:i/>
                                <w:iCs/>
                                <w:color w:val="4472C4" w:themeColor="accent1"/>
                                <w:sz w:val="18"/>
                                <w:szCs w:val="18"/>
                              </w:rPr>
                              <w:t xml:space="preserve"> </w:t>
                            </w:r>
                            <w:r w:rsidRPr="00C13AE4">
                              <w:rPr>
                                <w:b/>
                                <w:bCs/>
                                <w:i/>
                                <w:iCs/>
                                <w:color w:val="4472C4" w:themeColor="accent1"/>
                                <w:sz w:val="18"/>
                                <w:szCs w:val="18"/>
                              </w:rPr>
                              <w:t>Fierce Pharma</w:t>
                            </w:r>
                            <w:r w:rsidR="00BE5990">
                              <w:rPr>
                                <w:b/>
                                <w:bCs/>
                                <w:i/>
                                <w:iCs/>
                                <w:color w:val="4472C4" w:themeColor="accent1"/>
                                <w:sz w:val="18"/>
                                <w:szCs w:val="18"/>
                              </w:rPr>
                              <w:t xml:space="preserve"> </w:t>
                            </w:r>
                          </w:p>
                          <w:p w14:paraId="25A53F9C" w14:textId="77777777"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 xml:space="preserve">Aug 29, 2019 5:56pm </w:t>
                            </w:r>
                          </w:p>
                          <w:p w14:paraId="50B63CA0" w14:textId="4F860CF3"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p>
                          <w:p w14:paraId="6E98243D" w14:textId="51F44E01" w:rsidR="00C13AE4" w:rsidRDefault="00C13AE4" w:rsidP="00591208">
                            <w:pPr>
                              <w:pBdr>
                                <w:top w:val="single" w:sz="24" w:space="6"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6F1FD" id="_x0000_s1033" type="#_x0000_t202" style="position:absolute;margin-left:66.75pt;margin-top:136.85pt;width:511.5pt;height:95.2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" filled="f" stroked="f">
                <v:textbox>
                  <w:txbxContent>
                    <w:p w14:paraId="11E5CB12" w14:textId="24614E0A" w:rsidR="00C13AE4" w:rsidRPr="00C13AE4" w:rsidRDefault="00C13AE4" w:rsidP="00591208">
                      <w:pPr>
                        <w:pBdr>
                          <w:top w:val="single" w:sz="24" w:space="6" w:color="4472C4" w:themeColor="accent1"/>
                          <w:bottom w:val="single" w:sz="24" w:space="8" w:color="4472C4" w:themeColor="accent1"/>
                        </w:pBdr>
                        <w:rPr>
                          <w:i/>
                          <w:iCs/>
                          <w:color w:val="4472C4" w:themeColor="accent1"/>
                          <w:sz w:val="18"/>
                          <w:szCs w:val="18"/>
                        </w:rPr>
                      </w:pPr>
                      <w:r w:rsidRPr="00C13AE4">
                        <w:rPr>
                          <w:b/>
                          <w:bCs/>
                          <w:i/>
                          <w:iCs/>
                          <w:color w:val="4472C4" w:themeColor="accent1"/>
                          <w:sz w:val="18"/>
                          <w:szCs w:val="18"/>
                        </w:rPr>
                        <w:t xml:space="preserve">Does competition equal lower prices? MS drugs defied cost logic as challengers swarmed in </w:t>
                      </w:r>
                    </w:p>
                    <w:p w14:paraId="523B86FB" w14:textId="77777777"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Once only a small group of competitors, the field for multiple sclerosis (MS) therapies has exploded in recent years: By 2016, the number of approved drugs had nearly tripled in just seven years. That’s speedy growth, but something else grew faster—those drugs’ list prices.</w:t>
                      </w:r>
                    </w:p>
                    <w:p w14:paraId="22800DFC" w14:textId="519D09FA"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The average price of self-administered disease-modifying therapies for MS quadrupled between 2006 and 2016 as a rush of competitors flooded the market, according to a new study published in JAMA Neurology.</w:t>
                      </w:r>
                      <w:r>
                        <w:rPr>
                          <w:i/>
                          <w:iCs/>
                          <w:color w:val="4472C4" w:themeColor="accent1"/>
                          <w:sz w:val="18"/>
                          <w:szCs w:val="18"/>
                        </w:rPr>
                        <w:t xml:space="preserve"> </w:t>
                      </w:r>
                      <w:r w:rsidRPr="00C13AE4">
                        <w:rPr>
                          <w:i/>
                          <w:iCs/>
                          <w:color w:val="4472C4" w:themeColor="accent1"/>
                          <w:sz w:val="18"/>
                          <w:szCs w:val="18"/>
                        </w:rPr>
                        <w:t xml:space="preserve">by </w:t>
                      </w:r>
                      <w:hyperlink r:id="rId17" w:history="1">
                        <w:r w:rsidRPr="00C13AE4">
                          <w:rPr>
                            <w:rStyle w:val="Hyperlink"/>
                            <w:i/>
                            <w:iCs/>
                            <w:sz w:val="18"/>
                            <w:szCs w:val="18"/>
                          </w:rPr>
                          <w:t>Kyle Blankenship</w:t>
                        </w:r>
                      </w:hyperlink>
                      <w:r w:rsidRPr="00C13AE4">
                        <w:rPr>
                          <w:i/>
                          <w:iCs/>
                          <w:color w:val="4472C4" w:themeColor="accent1"/>
                          <w:sz w:val="18"/>
                          <w:szCs w:val="18"/>
                        </w:rPr>
                        <w:t xml:space="preserve"> </w:t>
                      </w:r>
                      <w:r w:rsidRPr="00C13AE4">
                        <w:rPr>
                          <w:b/>
                          <w:bCs/>
                          <w:i/>
                          <w:iCs/>
                          <w:color w:val="4472C4" w:themeColor="accent1"/>
                          <w:sz w:val="18"/>
                          <w:szCs w:val="18"/>
                        </w:rPr>
                        <w:t>Fierce Pharma</w:t>
                      </w:r>
                      <w:r w:rsidR="00BE5990">
                        <w:rPr>
                          <w:b/>
                          <w:bCs/>
                          <w:i/>
                          <w:iCs/>
                          <w:color w:val="4472C4" w:themeColor="accent1"/>
                          <w:sz w:val="18"/>
                          <w:szCs w:val="18"/>
                        </w:rPr>
                        <w:t xml:space="preserve"> </w:t>
                      </w:r>
                    </w:p>
                    <w:p w14:paraId="25A53F9C" w14:textId="77777777"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r w:rsidRPr="00C13AE4">
                        <w:rPr>
                          <w:i/>
                          <w:iCs/>
                          <w:color w:val="4472C4" w:themeColor="accent1"/>
                          <w:sz w:val="18"/>
                          <w:szCs w:val="18"/>
                        </w:rPr>
                        <w:t xml:space="preserve">Aug 29, 2019 5:56pm </w:t>
                      </w:r>
                    </w:p>
                    <w:p w14:paraId="50B63CA0" w14:textId="4F860CF3" w:rsidR="00C13AE4" w:rsidRPr="00C13AE4" w:rsidRDefault="00C13AE4" w:rsidP="00591208">
                      <w:pPr>
                        <w:pBdr>
                          <w:top w:val="single" w:sz="24" w:space="6" w:color="4472C4" w:themeColor="accent1"/>
                          <w:bottom w:val="single" w:sz="24" w:space="8" w:color="4472C4" w:themeColor="accent1"/>
                        </w:pBdr>
                        <w:spacing w:after="0"/>
                        <w:rPr>
                          <w:i/>
                          <w:iCs/>
                          <w:color w:val="4472C4" w:themeColor="accent1"/>
                          <w:sz w:val="18"/>
                          <w:szCs w:val="18"/>
                        </w:rPr>
                      </w:pPr>
                    </w:p>
                    <w:p w14:paraId="6E98243D" w14:textId="51F44E01" w:rsidR="00C13AE4" w:rsidRDefault="00C13AE4" w:rsidP="00591208">
                      <w:pPr>
                        <w:pBdr>
                          <w:top w:val="single" w:sz="24" w:space="6"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rsidR="005A50F5">
        <w:t xml:space="preserve">Other recent </w:t>
      </w:r>
      <w:hyperlink r:id="rId18" w:history="1">
        <w:r w:rsidR="00BA428C" w:rsidRPr="005A50F5">
          <w:rPr>
            <w:rStyle w:val="Hyperlink"/>
          </w:rPr>
          <w:t>congressional stud</w:t>
        </w:r>
        <w:r w:rsidR="005A50F5" w:rsidRPr="005A50F5">
          <w:rPr>
            <w:rStyle w:val="Hyperlink"/>
          </w:rPr>
          <w:t>ies and hearings</w:t>
        </w:r>
      </w:hyperlink>
      <w:r w:rsidR="00BA428C">
        <w:t xml:space="preserve"> </w:t>
      </w:r>
      <w:r w:rsidR="005A50F5">
        <w:t xml:space="preserve">found </w:t>
      </w:r>
      <w:r w:rsidR="005C378D">
        <w:t>high prices and price increases can thwart development of biosimilars</w:t>
      </w:r>
      <w:r w:rsidR="00DB37A6">
        <w:t xml:space="preserve"> and that </w:t>
      </w:r>
      <w:r w:rsidR="008E6339">
        <w:t>compan</w:t>
      </w:r>
      <w:r w:rsidR="00417022">
        <w:t>y</w:t>
      </w:r>
      <w:r w:rsidR="00FE70A9">
        <w:t xml:space="preserve"> revenues are not substantially dedicated to R&amp;D.</w:t>
      </w:r>
      <w:r w:rsidR="00BE5990">
        <w:t xml:space="preserve"> </w:t>
      </w:r>
      <w:r w:rsidR="00BD7416">
        <w:t>The report</w:t>
      </w:r>
      <w:r w:rsidR="00DB37A6">
        <w:t>s</w:t>
      </w:r>
      <w:r w:rsidR="00BD7416">
        <w:t xml:space="preserve"> present evidence that </w:t>
      </w:r>
      <w:r w:rsidR="00C761DC">
        <w:t>in the biologics space</w:t>
      </w:r>
      <w:r w:rsidR="00BD7416">
        <w:t xml:space="preserve">, </w:t>
      </w:r>
      <w:r w:rsidR="00C761DC">
        <w:t xml:space="preserve">high prices </w:t>
      </w:r>
      <w:r w:rsidR="002A3F27">
        <w:t xml:space="preserve">mean that clinical studies to develop lower cost biosimilars become uneconomical </w:t>
      </w:r>
      <w:r w:rsidR="00ED33F3">
        <w:t xml:space="preserve">because the cost of the reference product </w:t>
      </w:r>
      <w:r w:rsidR="00576B09">
        <w:t xml:space="preserve">used in clinical trials </w:t>
      </w:r>
      <w:r w:rsidR="00ED33F3">
        <w:t xml:space="preserve">is too costly to </w:t>
      </w:r>
      <w:r w:rsidR="00B0337B">
        <w:t>generate a s</w:t>
      </w:r>
      <w:r w:rsidR="00370175">
        <w:t xml:space="preserve">ignificantly </w:t>
      </w:r>
      <w:r w:rsidR="00ED33F3">
        <w:t>lower cost biosimilar. This point was made by then</w:t>
      </w:r>
      <w:r w:rsidR="00AB1ECC">
        <w:t>-</w:t>
      </w:r>
      <w:r w:rsidR="00ED33F3">
        <w:t xml:space="preserve">FDA Commissioner </w:t>
      </w:r>
      <w:r w:rsidR="00AB1ECC">
        <w:t xml:space="preserve">Gottlieb </w:t>
      </w:r>
      <w:r w:rsidR="00ED33F3">
        <w:t>at a July 20</w:t>
      </w:r>
      <w:r w:rsidR="00EC075D">
        <w:t xml:space="preserve">18 meeting at the Brookings </w:t>
      </w:r>
      <w:r w:rsidR="00EC075D" w:rsidRPr="00ED2246">
        <w:t>Institution</w:t>
      </w:r>
      <w:r w:rsidR="00EC075D">
        <w:t>.</w:t>
      </w:r>
      <w:r w:rsidR="00BE5990">
        <w:t xml:space="preserve"> </w:t>
      </w:r>
      <w:r w:rsidR="00370175">
        <w:t>H</w:t>
      </w:r>
      <w:r w:rsidR="00EC075D">
        <w:t xml:space="preserve">igh prices punish patients and distort the </w:t>
      </w:r>
      <w:r w:rsidR="008E10C0">
        <w:t>entire market.</w:t>
      </w:r>
      <w:r w:rsidR="00BE5990">
        <w:t xml:space="preserve"> </w:t>
      </w:r>
    </w:p>
    <w:p w14:paraId="507A881B" w14:textId="2DDAC43A" w:rsidR="00845489" w:rsidRPr="003A42FD" w:rsidRDefault="00E72686" w:rsidP="00845489">
      <w:pPr>
        <w:rPr>
          <w:color w:val="CC00CC"/>
          <w:sz w:val="32"/>
          <w:szCs w:val="32"/>
        </w:rPr>
      </w:pPr>
      <w:r w:rsidRPr="003A42FD">
        <w:rPr>
          <w:color w:val="CC00CC"/>
          <w:sz w:val="32"/>
          <w:szCs w:val="32"/>
        </w:rPr>
        <w:t>Manufacturer Price Increases Benefit Competitors</w:t>
      </w:r>
      <w:r w:rsidR="00845489" w:rsidRPr="003A42FD">
        <w:rPr>
          <w:color w:val="CC00CC"/>
          <w:sz w:val="32"/>
          <w:szCs w:val="32"/>
        </w:rPr>
        <w:t xml:space="preserve"> </w:t>
      </w:r>
    </w:p>
    <w:p w14:paraId="025399D8" w14:textId="2477F060" w:rsidR="00823FB1" w:rsidRDefault="00CF0040" w:rsidP="00803A7C">
      <w:r>
        <w:t>Manufacturers shadow</w:t>
      </w:r>
      <w:r w:rsidR="009A6542">
        <w:t xml:space="preserve"> price each other </w:t>
      </w:r>
      <w:r w:rsidR="004633FA">
        <w:t xml:space="preserve">as </w:t>
      </w:r>
      <w:r w:rsidR="009A6542">
        <w:t>a</w:t>
      </w:r>
      <w:r w:rsidR="00967552">
        <w:t xml:space="preserve"> recent </w:t>
      </w:r>
      <w:r w:rsidR="009A6542">
        <w:t xml:space="preserve"> </w:t>
      </w:r>
      <w:hyperlink r:id="rId19" w:history="1">
        <w:r w:rsidR="009A6542" w:rsidRPr="00967552">
          <w:rPr>
            <w:rStyle w:val="Hyperlink"/>
          </w:rPr>
          <w:t>congressional study found</w:t>
        </w:r>
      </w:hyperlink>
      <w:r w:rsidR="009A6542">
        <w:t>.</w:t>
      </w:r>
      <w:r w:rsidR="00BE5990">
        <w:t xml:space="preserve"> </w:t>
      </w:r>
      <w:r w:rsidR="00895516">
        <w:t>T</w:t>
      </w:r>
      <w:r w:rsidR="009A6542">
        <w:t xml:space="preserve">his </w:t>
      </w:r>
      <w:r w:rsidR="00895516">
        <w:t xml:space="preserve">shadow pricing </w:t>
      </w:r>
      <w:r w:rsidR="009A6542">
        <w:t xml:space="preserve">practice </w:t>
      </w:r>
      <w:r w:rsidR="00D358B2">
        <w:t>has been obvious for years.</w:t>
      </w:r>
      <w:r w:rsidR="00BE5990">
        <w:t xml:space="preserve"> </w:t>
      </w:r>
      <w:r w:rsidR="002B0073">
        <w:t xml:space="preserve">The first company in a therapeutic class </w:t>
      </w:r>
      <w:r>
        <w:t xml:space="preserve">to </w:t>
      </w:r>
      <w:r w:rsidR="002B0073">
        <w:t xml:space="preserve">announce </w:t>
      </w:r>
      <w:r w:rsidR="00E86C65">
        <w:t>its</w:t>
      </w:r>
      <w:r w:rsidR="002B0073">
        <w:t xml:space="preserve"> price increase</w:t>
      </w:r>
      <w:r>
        <w:t xml:space="preserve"> is followed by </w:t>
      </w:r>
      <w:r w:rsidR="002B0073">
        <w:t>therapeutic competitors announcing similar price increases.</w:t>
      </w:r>
      <w:r w:rsidR="00BE5990">
        <w:t xml:space="preserve"> </w:t>
      </w:r>
      <w:r w:rsidR="002B0073">
        <w:t xml:space="preserve">It is not </w:t>
      </w:r>
      <w:r w:rsidR="00823FB1">
        <w:t xml:space="preserve">price </w:t>
      </w:r>
      <w:r w:rsidR="002B0073">
        <w:t>competition.</w:t>
      </w:r>
      <w:r w:rsidR="00BE5990">
        <w:t xml:space="preserve"> </w:t>
      </w:r>
    </w:p>
    <w:p w14:paraId="4DD9AFF9" w14:textId="53D6441D" w:rsidR="003A42FD" w:rsidRDefault="00B6510F" w:rsidP="00803A7C">
      <w:r>
        <w:t xml:space="preserve">Also, price increases of </w:t>
      </w:r>
      <w:r w:rsidR="004D3CC6">
        <w:t>an</w:t>
      </w:r>
      <w:r w:rsidR="00E86C65">
        <w:t xml:space="preserve"> in-market </w:t>
      </w:r>
      <w:r>
        <w:t xml:space="preserve">product </w:t>
      </w:r>
      <w:r w:rsidR="00472779">
        <w:t xml:space="preserve">provide </w:t>
      </w:r>
      <w:r>
        <w:t>benefit</w:t>
      </w:r>
      <w:r w:rsidR="00DF10FF">
        <w:t>s</w:t>
      </w:r>
      <w:r w:rsidR="00BF6DA7">
        <w:t xml:space="preserve"> to</w:t>
      </w:r>
      <w:r w:rsidR="00E86C65">
        <w:t xml:space="preserve"> the competitor company </w:t>
      </w:r>
      <w:r w:rsidR="0078735C">
        <w:t xml:space="preserve">with a </w:t>
      </w:r>
      <w:r>
        <w:t xml:space="preserve">similar product </w:t>
      </w:r>
      <w:r w:rsidR="0078735C">
        <w:t xml:space="preserve">in development </w:t>
      </w:r>
      <w:r w:rsidR="007D4893">
        <w:t>as this simple graphic shows.</w:t>
      </w:r>
      <w:r w:rsidR="00BE5990">
        <w:t xml:space="preserve">  </w:t>
      </w:r>
    </w:p>
    <w:tbl>
      <w:tblPr>
        <w:tblStyle w:val="TableGrid"/>
        <w:tblW w:w="7795" w:type="dxa"/>
        <w:shd w:val="clear" w:color="auto" w:fill="FFC000"/>
        <w:tblLook w:val="04A0" w:firstRow="1" w:lastRow="0" w:firstColumn="1" w:lastColumn="0" w:noHBand="0" w:noVBand="1"/>
      </w:tblPr>
      <w:tblGrid>
        <w:gridCol w:w="1211"/>
        <w:gridCol w:w="805"/>
        <w:gridCol w:w="899"/>
        <w:gridCol w:w="899"/>
        <w:gridCol w:w="899"/>
        <w:gridCol w:w="926"/>
        <w:gridCol w:w="1027"/>
        <w:gridCol w:w="1129"/>
      </w:tblGrid>
      <w:tr w:rsidR="002E3770" w:rsidRPr="00155B19" w14:paraId="78058EFC" w14:textId="77777777" w:rsidTr="001C2199">
        <w:trPr>
          <w:trHeight w:val="800"/>
        </w:trPr>
        <w:tc>
          <w:tcPr>
            <w:tcW w:w="1211" w:type="dxa"/>
            <w:shd w:val="clear" w:color="auto" w:fill="FFC000"/>
            <w:hideMark/>
          </w:tcPr>
          <w:p w14:paraId="778F25D8" w14:textId="77777777" w:rsidR="00155B19" w:rsidRPr="0078735C" w:rsidRDefault="00155B19" w:rsidP="00155B19">
            <w:pPr>
              <w:rPr>
                <w:sz w:val="18"/>
                <w:szCs w:val="18"/>
              </w:rPr>
            </w:pPr>
            <w:r w:rsidRPr="0078735C">
              <w:rPr>
                <w:b/>
                <w:bCs/>
                <w:sz w:val="18"/>
                <w:szCs w:val="18"/>
              </w:rPr>
              <w:t>Patented</w:t>
            </w:r>
          </w:p>
          <w:p w14:paraId="49ABD5BD" w14:textId="77777777" w:rsidR="00155B19" w:rsidRPr="0078735C" w:rsidRDefault="00155B19" w:rsidP="00155B19">
            <w:pPr>
              <w:rPr>
                <w:sz w:val="18"/>
                <w:szCs w:val="18"/>
              </w:rPr>
            </w:pPr>
            <w:r w:rsidRPr="0078735C">
              <w:rPr>
                <w:b/>
                <w:bCs/>
                <w:sz w:val="18"/>
                <w:szCs w:val="18"/>
              </w:rPr>
              <w:t>Innovator</w:t>
            </w:r>
          </w:p>
          <w:p w14:paraId="6033A0AE" w14:textId="77777777" w:rsidR="00155B19" w:rsidRPr="0078735C" w:rsidRDefault="00155B19" w:rsidP="00155B19">
            <w:pPr>
              <w:rPr>
                <w:sz w:val="18"/>
                <w:szCs w:val="18"/>
              </w:rPr>
            </w:pPr>
            <w:r w:rsidRPr="0078735C">
              <w:rPr>
                <w:b/>
                <w:bCs/>
                <w:sz w:val="18"/>
                <w:szCs w:val="18"/>
              </w:rPr>
              <w:t>Drug</w:t>
            </w:r>
          </w:p>
        </w:tc>
        <w:tc>
          <w:tcPr>
            <w:tcW w:w="805" w:type="dxa"/>
            <w:shd w:val="clear" w:color="auto" w:fill="FFC000"/>
            <w:hideMark/>
          </w:tcPr>
          <w:p w14:paraId="37A81811" w14:textId="77777777" w:rsidR="00155B19" w:rsidRPr="0078735C" w:rsidRDefault="00155B19" w:rsidP="00155B19">
            <w:pPr>
              <w:rPr>
                <w:sz w:val="18"/>
                <w:szCs w:val="18"/>
              </w:rPr>
            </w:pPr>
            <w:r w:rsidRPr="0078735C">
              <w:rPr>
                <w:b/>
                <w:bCs/>
                <w:sz w:val="18"/>
                <w:szCs w:val="18"/>
              </w:rPr>
              <w:t>$$$</w:t>
            </w:r>
          </w:p>
          <w:p w14:paraId="46B00A62" w14:textId="77777777" w:rsidR="00155B19" w:rsidRPr="0078735C" w:rsidRDefault="00155B19" w:rsidP="00155B19">
            <w:pPr>
              <w:rPr>
                <w:sz w:val="18"/>
                <w:szCs w:val="18"/>
              </w:rPr>
            </w:pPr>
            <w:r w:rsidRPr="0078735C">
              <w:rPr>
                <w:b/>
                <w:bCs/>
                <w:sz w:val="18"/>
                <w:szCs w:val="18"/>
              </w:rPr>
              <w:t>Launch</w:t>
            </w:r>
          </w:p>
          <w:p w14:paraId="6A8B3302" w14:textId="77777777" w:rsidR="00155B19" w:rsidRPr="0078735C" w:rsidRDefault="00155B19" w:rsidP="00155B19">
            <w:pPr>
              <w:rPr>
                <w:sz w:val="18"/>
                <w:szCs w:val="18"/>
              </w:rPr>
            </w:pPr>
            <w:r w:rsidRPr="0078735C">
              <w:rPr>
                <w:b/>
                <w:bCs/>
                <w:sz w:val="18"/>
                <w:szCs w:val="18"/>
              </w:rPr>
              <w:t>Price</w:t>
            </w:r>
          </w:p>
        </w:tc>
        <w:tc>
          <w:tcPr>
            <w:tcW w:w="899" w:type="dxa"/>
            <w:shd w:val="clear" w:color="auto" w:fill="FFC000"/>
            <w:hideMark/>
          </w:tcPr>
          <w:p w14:paraId="7930B2A8" w14:textId="77777777" w:rsidR="00155B19" w:rsidRPr="0078735C" w:rsidRDefault="00155B19" w:rsidP="00155B19">
            <w:pPr>
              <w:rPr>
                <w:sz w:val="18"/>
                <w:szCs w:val="18"/>
              </w:rPr>
            </w:pPr>
            <w:r w:rsidRPr="0078735C">
              <w:rPr>
                <w:b/>
                <w:bCs/>
                <w:sz w:val="18"/>
                <w:szCs w:val="18"/>
              </w:rPr>
              <w:t xml:space="preserve">$$$$ </w:t>
            </w:r>
            <w:r w:rsidRPr="0078735C">
              <w:rPr>
                <w:sz w:val="18"/>
                <w:szCs w:val="18"/>
              </w:rPr>
              <w:t>Price Increase</w:t>
            </w:r>
          </w:p>
        </w:tc>
        <w:tc>
          <w:tcPr>
            <w:tcW w:w="899" w:type="dxa"/>
            <w:shd w:val="clear" w:color="auto" w:fill="FFC000"/>
            <w:hideMark/>
          </w:tcPr>
          <w:p w14:paraId="5C42DC8D" w14:textId="77777777" w:rsidR="00155B19" w:rsidRPr="0078735C" w:rsidRDefault="00155B19" w:rsidP="00155B19">
            <w:pPr>
              <w:rPr>
                <w:sz w:val="18"/>
                <w:szCs w:val="18"/>
              </w:rPr>
            </w:pPr>
            <w:r w:rsidRPr="0078735C">
              <w:rPr>
                <w:b/>
                <w:bCs/>
                <w:sz w:val="18"/>
                <w:szCs w:val="18"/>
              </w:rPr>
              <w:t>$$$$$</w:t>
            </w:r>
          </w:p>
          <w:p w14:paraId="0C140171" w14:textId="77777777" w:rsidR="00155B19" w:rsidRPr="0078735C" w:rsidRDefault="00155B19" w:rsidP="00155B19">
            <w:pPr>
              <w:rPr>
                <w:sz w:val="18"/>
                <w:szCs w:val="18"/>
              </w:rPr>
            </w:pPr>
            <w:r w:rsidRPr="0078735C">
              <w:rPr>
                <w:sz w:val="18"/>
                <w:szCs w:val="18"/>
              </w:rPr>
              <w:t>Price Increase</w:t>
            </w:r>
          </w:p>
        </w:tc>
        <w:tc>
          <w:tcPr>
            <w:tcW w:w="899" w:type="dxa"/>
            <w:shd w:val="clear" w:color="auto" w:fill="FFC000"/>
            <w:hideMark/>
          </w:tcPr>
          <w:p w14:paraId="7687F4F5" w14:textId="77777777" w:rsidR="00155B19" w:rsidRPr="0078735C" w:rsidRDefault="00155B19" w:rsidP="00155B19">
            <w:pPr>
              <w:rPr>
                <w:sz w:val="18"/>
                <w:szCs w:val="18"/>
              </w:rPr>
            </w:pPr>
            <w:r w:rsidRPr="0078735C">
              <w:rPr>
                <w:b/>
                <w:bCs/>
                <w:sz w:val="18"/>
                <w:szCs w:val="18"/>
              </w:rPr>
              <w:t>$$$$$$</w:t>
            </w:r>
          </w:p>
          <w:p w14:paraId="58CD61F3" w14:textId="77777777" w:rsidR="00155B19" w:rsidRPr="0078735C" w:rsidRDefault="00155B19" w:rsidP="00155B19">
            <w:pPr>
              <w:rPr>
                <w:sz w:val="18"/>
                <w:szCs w:val="18"/>
              </w:rPr>
            </w:pPr>
            <w:r w:rsidRPr="0078735C">
              <w:rPr>
                <w:sz w:val="18"/>
                <w:szCs w:val="18"/>
              </w:rPr>
              <w:t>Price Increase</w:t>
            </w:r>
          </w:p>
        </w:tc>
        <w:tc>
          <w:tcPr>
            <w:tcW w:w="926" w:type="dxa"/>
            <w:shd w:val="clear" w:color="auto" w:fill="FFC000"/>
            <w:hideMark/>
          </w:tcPr>
          <w:p w14:paraId="5A33865C" w14:textId="77777777" w:rsidR="00155B19" w:rsidRPr="0078735C" w:rsidRDefault="00155B19" w:rsidP="00155B19">
            <w:pPr>
              <w:rPr>
                <w:sz w:val="18"/>
                <w:szCs w:val="18"/>
              </w:rPr>
            </w:pPr>
            <w:r w:rsidRPr="0078735C">
              <w:rPr>
                <w:b/>
                <w:bCs/>
                <w:sz w:val="18"/>
                <w:szCs w:val="18"/>
              </w:rPr>
              <w:t>$$$$$$$</w:t>
            </w:r>
          </w:p>
          <w:p w14:paraId="05B66485" w14:textId="77777777" w:rsidR="00155B19" w:rsidRPr="0078735C" w:rsidRDefault="00155B19" w:rsidP="00155B19">
            <w:pPr>
              <w:rPr>
                <w:sz w:val="18"/>
                <w:szCs w:val="18"/>
              </w:rPr>
            </w:pPr>
            <w:r w:rsidRPr="0078735C">
              <w:rPr>
                <w:sz w:val="18"/>
                <w:szCs w:val="18"/>
              </w:rPr>
              <w:t>Price Increase</w:t>
            </w:r>
          </w:p>
        </w:tc>
        <w:tc>
          <w:tcPr>
            <w:tcW w:w="1027" w:type="dxa"/>
            <w:shd w:val="clear" w:color="auto" w:fill="FFC000"/>
            <w:hideMark/>
          </w:tcPr>
          <w:p w14:paraId="413B07C6" w14:textId="77777777" w:rsidR="00155B19" w:rsidRPr="0078735C" w:rsidRDefault="00155B19" w:rsidP="00155B19">
            <w:pPr>
              <w:rPr>
                <w:sz w:val="18"/>
                <w:szCs w:val="18"/>
              </w:rPr>
            </w:pPr>
            <w:r w:rsidRPr="0078735C">
              <w:rPr>
                <w:b/>
                <w:bCs/>
                <w:sz w:val="18"/>
                <w:szCs w:val="18"/>
              </w:rPr>
              <w:t>$$$$$$$$</w:t>
            </w:r>
          </w:p>
          <w:p w14:paraId="10A61F62" w14:textId="77777777" w:rsidR="00155B19" w:rsidRPr="0078735C" w:rsidRDefault="00155B19" w:rsidP="00155B19">
            <w:pPr>
              <w:rPr>
                <w:sz w:val="18"/>
                <w:szCs w:val="18"/>
              </w:rPr>
            </w:pPr>
            <w:r w:rsidRPr="0078735C">
              <w:rPr>
                <w:sz w:val="18"/>
                <w:szCs w:val="18"/>
              </w:rPr>
              <w:t>Price Increase</w:t>
            </w:r>
          </w:p>
        </w:tc>
        <w:tc>
          <w:tcPr>
            <w:tcW w:w="1129" w:type="dxa"/>
            <w:shd w:val="clear" w:color="auto" w:fill="FFC000"/>
            <w:hideMark/>
          </w:tcPr>
          <w:p w14:paraId="500EAE05" w14:textId="77777777" w:rsidR="00155B19" w:rsidRPr="0078735C" w:rsidRDefault="00155B19" w:rsidP="00155B19">
            <w:pPr>
              <w:rPr>
                <w:sz w:val="18"/>
                <w:szCs w:val="18"/>
              </w:rPr>
            </w:pPr>
            <w:r w:rsidRPr="0078735C">
              <w:rPr>
                <w:b/>
                <w:bCs/>
                <w:sz w:val="18"/>
                <w:szCs w:val="18"/>
              </w:rPr>
              <w:t>$$$$$$$$$</w:t>
            </w:r>
          </w:p>
          <w:p w14:paraId="5E36D13A" w14:textId="77777777" w:rsidR="00155B19" w:rsidRPr="0078735C" w:rsidRDefault="00155B19" w:rsidP="00155B19">
            <w:pPr>
              <w:rPr>
                <w:sz w:val="18"/>
                <w:szCs w:val="18"/>
              </w:rPr>
            </w:pPr>
            <w:r w:rsidRPr="0078735C">
              <w:rPr>
                <w:sz w:val="18"/>
                <w:szCs w:val="18"/>
              </w:rPr>
              <w:t>Price Increase</w:t>
            </w:r>
          </w:p>
        </w:tc>
      </w:tr>
      <w:tr w:rsidR="002E3770" w:rsidRPr="00155B19" w14:paraId="270DCF98" w14:textId="77777777" w:rsidTr="001C2199">
        <w:trPr>
          <w:trHeight w:val="800"/>
        </w:trPr>
        <w:tc>
          <w:tcPr>
            <w:tcW w:w="1211" w:type="dxa"/>
            <w:shd w:val="clear" w:color="auto" w:fill="FFC000"/>
            <w:hideMark/>
          </w:tcPr>
          <w:p w14:paraId="084B4F7D" w14:textId="77777777" w:rsidR="00155B19" w:rsidRPr="0078735C" w:rsidRDefault="00155B19" w:rsidP="00155B19">
            <w:pPr>
              <w:rPr>
                <w:sz w:val="18"/>
                <w:szCs w:val="18"/>
              </w:rPr>
            </w:pPr>
            <w:r w:rsidRPr="0078735C">
              <w:rPr>
                <w:b/>
                <w:bCs/>
                <w:sz w:val="18"/>
                <w:szCs w:val="18"/>
              </w:rPr>
              <w:t>Patented Therapeutic</w:t>
            </w:r>
          </w:p>
          <w:p w14:paraId="4C351E4A" w14:textId="77777777" w:rsidR="00155B19" w:rsidRPr="0078735C" w:rsidRDefault="00155B19" w:rsidP="00155B19">
            <w:pPr>
              <w:rPr>
                <w:sz w:val="18"/>
                <w:szCs w:val="18"/>
              </w:rPr>
            </w:pPr>
            <w:r w:rsidRPr="0078735C">
              <w:rPr>
                <w:b/>
                <w:bCs/>
                <w:sz w:val="18"/>
                <w:szCs w:val="18"/>
              </w:rPr>
              <w:t>Competitor</w:t>
            </w:r>
          </w:p>
        </w:tc>
        <w:tc>
          <w:tcPr>
            <w:tcW w:w="805" w:type="dxa"/>
            <w:shd w:val="clear" w:color="auto" w:fill="FFC000"/>
            <w:hideMark/>
          </w:tcPr>
          <w:p w14:paraId="2CD7D959" w14:textId="77777777" w:rsidR="00155B19" w:rsidRPr="0078735C" w:rsidRDefault="00155B19" w:rsidP="00155B19">
            <w:pPr>
              <w:rPr>
                <w:sz w:val="18"/>
                <w:szCs w:val="18"/>
              </w:rPr>
            </w:pPr>
          </w:p>
        </w:tc>
        <w:tc>
          <w:tcPr>
            <w:tcW w:w="899" w:type="dxa"/>
            <w:shd w:val="clear" w:color="auto" w:fill="FFC000"/>
            <w:hideMark/>
          </w:tcPr>
          <w:p w14:paraId="6FB9E45A" w14:textId="77777777" w:rsidR="00155B19" w:rsidRPr="0078735C" w:rsidRDefault="00155B19" w:rsidP="00155B19">
            <w:pPr>
              <w:rPr>
                <w:sz w:val="18"/>
                <w:szCs w:val="18"/>
              </w:rPr>
            </w:pPr>
            <w:r w:rsidRPr="0078735C">
              <w:rPr>
                <w:b/>
                <w:bCs/>
                <w:sz w:val="18"/>
                <w:szCs w:val="18"/>
              </w:rPr>
              <w:t>$$$$ Launch Price</w:t>
            </w:r>
          </w:p>
        </w:tc>
        <w:tc>
          <w:tcPr>
            <w:tcW w:w="899" w:type="dxa"/>
            <w:shd w:val="clear" w:color="auto" w:fill="FFC000"/>
            <w:hideMark/>
          </w:tcPr>
          <w:p w14:paraId="497A334D" w14:textId="77777777" w:rsidR="00155B19" w:rsidRPr="0078735C" w:rsidRDefault="00155B19" w:rsidP="00155B19">
            <w:pPr>
              <w:rPr>
                <w:sz w:val="18"/>
                <w:szCs w:val="18"/>
              </w:rPr>
            </w:pPr>
            <w:r w:rsidRPr="0078735C">
              <w:rPr>
                <w:b/>
                <w:bCs/>
                <w:sz w:val="18"/>
                <w:szCs w:val="18"/>
              </w:rPr>
              <w:t>$$$$$</w:t>
            </w:r>
          </w:p>
          <w:p w14:paraId="700EEC4F" w14:textId="77777777" w:rsidR="00155B19" w:rsidRPr="0078735C" w:rsidRDefault="00155B19" w:rsidP="00155B19">
            <w:pPr>
              <w:rPr>
                <w:sz w:val="18"/>
                <w:szCs w:val="18"/>
              </w:rPr>
            </w:pPr>
            <w:r w:rsidRPr="0078735C">
              <w:rPr>
                <w:sz w:val="18"/>
                <w:szCs w:val="18"/>
              </w:rPr>
              <w:t>Price Increase</w:t>
            </w:r>
          </w:p>
        </w:tc>
        <w:tc>
          <w:tcPr>
            <w:tcW w:w="899" w:type="dxa"/>
            <w:shd w:val="clear" w:color="auto" w:fill="FFC000"/>
            <w:hideMark/>
          </w:tcPr>
          <w:p w14:paraId="078C7CA7" w14:textId="77777777" w:rsidR="00155B19" w:rsidRPr="0078735C" w:rsidRDefault="00155B19" w:rsidP="00155B19">
            <w:pPr>
              <w:rPr>
                <w:sz w:val="18"/>
                <w:szCs w:val="18"/>
              </w:rPr>
            </w:pPr>
            <w:r w:rsidRPr="0078735C">
              <w:rPr>
                <w:b/>
                <w:bCs/>
                <w:sz w:val="18"/>
                <w:szCs w:val="18"/>
              </w:rPr>
              <w:t>$$$$$$</w:t>
            </w:r>
          </w:p>
          <w:p w14:paraId="3396C027" w14:textId="77777777" w:rsidR="00155B19" w:rsidRPr="0078735C" w:rsidRDefault="00155B19" w:rsidP="00155B19">
            <w:pPr>
              <w:rPr>
                <w:sz w:val="18"/>
                <w:szCs w:val="18"/>
              </w:rPr>
            </w:pPr>
            <w:r w:rsidRPr="0078735C">
              <w:rPr>
                <w:sz w:val="18"/>
                <w:szCs w:val="18"/>
              </w:rPr>
              <w:t>Price Increase</w:t>
            </w:r>
          </w:p>
        </w:tc>
        <w:tc>
          <w:tcPr>
            <w:tcW w:w="926" w:type="dxa"/>
            <w:shd w:val="clear" w:color="auto" w:fill="FFC000"/>
            <w:hideMark/>
          </w:tcPr>
          <w:p w14:paraId="39565576" w14:textId="77777777" w:rsidR="00155B19" w:rsidRPr="0078735C" w:rsidRDefault="00155B19" w:rsidP="00155B19">
            <w:pPr>
              <w:rPr>
                <w:sz w:val="18"/>
                <w:szCs w:val="18"/>
              </w:rPr>
            </w:pPr>
            <w:r w:rsidRPr="0078735C">
              <w:rPr>
                <w:b/>
                <w:bCs/>
                <w:sz w:val="18"/>
                <w:szCs w:val="18"/>
              </w:rPr>
              <w:t>$$$$$$$</w:t>
            </w:r>
          </w:p>
          <w:p w14:paraId="401959AC" w14:textId="77777777" w:rsidR="00155B19" w:rsidRPr="0078735C" w:rsidRDefault="00155B19" w:rsidP="00155B19">
            <w:pPr>
              <w:rPr>
                <w:sz w:val="18"/>
                <w:szCs w:val="18"/>
              </w:rPr>
            </w:pPr>
            <w:r w:rsidRPr="0078735C">
              <w:rPr>
                <w:sz w:val="18"/>
                <w:szCs w:val="18"/>
              </w:rPr>
              <w:t>Price Increase</w:t>
            </w:r>
          </w:p>
        </w:tc>
        <w:tc>
          <w:tcPr>
            <w:tcW w:w="1027" w:type="dxa"/>
            <w:shd w:val="clear" w:color="auto" w:fill="FFC000"/>
            <w:hideMark/>
          </w:tcPr>
          <w:p w14:paraId="2791F21A" w14:textId="77777777" w:rsidR="00155B19" w:rsidRPr="0078735C" w:rsidRDefault="00155B19" w:rsidP="00155B19">
            <w:pPr>
              <w:rPr>
                <w:sz w:val="18"/>
                <w:szCs w:val="18"/>
              </w:rPr>
            </w:pPr>
            <w:r w:rsidRPr="0078735C">
              <w:rPr>
                <w:b/>
                <w:bCs/>
                <w:sz w:val="18"/>
                <w:szCs w:val="18"/>
              </w:rPr>
              <w:t>$$$$$$$$</w:t>
            </w:r>
          </w:p>
          <w:p w14:paraId="2501A863" w14:textId="77777777" w:rsidR="00155B19" w:rsidRPr="0078735C" w:rsidRDefault="00155B19" w:rsidP="00155B19">
            <w:pPr>
              <w:rPr>
                <w:sz w:val="18"/>
                <w:szCs w:val="18"/>
              </w:rPr>
            </w:pPr>
            <w:r w:rsidRPr="0078735C">
              <w:rPr>
                <w:sz w:val="18"/>
                <w:szCs w:val="18"/>
              </w:rPr>
              <w:t>Price Increase</w:t>
            </w:r>
          </w:p>
        </w:tc>
        <w:tc>
          <w:tcPr>
            <w:tcW w:w="1129" w:type="dxa"/>
            <w:shd w:val="clear" w:color="auto" w:fill="FFC000"/>
            <w:hideMark/>
          </w:tcPr>
          <w:p w14:paraId="4BA5A8BE" w14:textId="0D69324D" w:rsidR="00155B19" w:rsidRPr="0078735C" w:rsidRDefault="00155B19" w:rsidP="00155B19">
            <w:pPr>
              <w:rPr>
                <w:sz w:val="18"/>
                <w:szCs w:val="18"/>
              </w:rPr>
            </w:pPr>
            <w:r w:rsidRPr="0078735C">
              <w:rPr>
                <w:b/>
                <w:bCs/>
                <w:sz w:val="18"/>
                <w:szCs w:val="18"/>
              </w:rPr>
              <w:t>$$$$$$$$</w:t>
            </w:r>
            <w:r w:rsidR="001C63AF" w:rsidRPr="0078735C">
              <w:rPr>
                <w:b/>
                <w:bCs/>
                <w:sz w:val="18"/>
                <w:szCs w:val="18"/>
              </w:rPr>
              <w:t>$</w:t>
            </w:r>
          </w:p>
          <w:p w14:paraId="2D476581" w14:textId="77777777" w:rsidR="00155B19" w:rsidRPr="0078735C" w:rsidRDefault="00155B19" w:rsidP="00155B19">
            <w:pPr>
              <w:rPr>
                <w:sz w:val="18"/>
                <w:szCs w:val="18"/>
              </w:rPr>
            </w:pPr>
            <w:r w:rsidRPr="0078735C">
              <w:rPr>
                <w:sz w:val="18"/>
                <w:szCs w:val="18"/>
              </w:rPr>
              <w:t>Price Increase</w:t>
            </w:r>
          </w:p>
        </w:tc>
      </w:tr>
      <w:tr w:rsidR="002E3770" w:rsidRPr="00155B19" w14:paraId="6F53735E" w14:textId="77777777" w:rsidTr="001C2199">
        <w:trPr>
          <w:trHeight w:val="800"/>
        </w:trPr>
        <w:tc>
          <w:tcPr>
            <w:tcW w:w="1211" w:type="dxa"/>
            <w:shd w:val="clear" w:color="auto" w:fill="FFC000"/>
            <w:hideMark/>
          </w:tcPr>
          <w:p w14:paraId="57E1C9DE" w14:textId="77777777" w:rsidR="00155B19" w:rsidRPr="0078735C" w:rsidRDefault="00155B19" w:rsidP="00155B19">
            <w:pPr>
              <w:rPr>
                <w:sz w:val="18"/>
                <w:szCs w:val="18"/>
              </w:rPr>
            </w:pPr>
            <w:r w:rsidRPr="0078735C">
              <w:rPr>
                <w:b/>
                <w:bCs/>
                <w:sz w:val="18"/>
                <w:szCs w:val="18"/>
              </w:rPr>
              <w:t>Generic #1</w:t>
            </w:r>
          </w:p>
        </w:tc>
        <w:tc>
          <w:tcPr>
            <w:tcW w:w="805" w:type="dxa"/>
            <w:shd w:val="clear" w:color="auto" w:fill="FFC000"/>
            <w:hideMark/>
          </w:tcPr>
          <w:p w14:paraId="0C0A26B6" w14:textId="77777777" w:rsidR="00155B19" w:rsidRPr="0078735C" w:rsidRDefault="00155B19" w:rsidP="00155B19">
            <w:pPr>
              <w:rPr>
                <w:sz w:val="18"/>
                <w:szCs w:val="18"/>
              </w:rPr>
            </w:pPr>
          </w:p>
        </w:tc>
        <w:tc>
          <w:tcPr>
            <w:tcW w:w="899" w:type="dxa"/>
            <w:shd w:val="clear" w:color="auto" w:fill="FFC000"/>
            <w:hideMark/>
          </w:tcPr>
          <w:p w14:paraId="7C7BDE85" w14:textId="77777777" w:rsidR="00155B19" w:rsidRPr="0078735C" w:rsidRDefault="00155B19" w:rsidP="00155B19">
            <w:pPr>
              <w:rPr>
                <w:sz w:val="18"/>
                <w:szCs w:val="18"/>
              </w:rPr>
            </w:pPr>
          </w:p>
        </w:tc>
        <w:tc>
          <w:tcPr>
            <w:tcW w:w="899" w:type="dxa"/>
            <w:shd w:val="clear" w:color="auto" w:fill="FFC000"/>
            <w:hideMark/>
          </w:tcPr>
          <w:p w14:paraId="37147C51" w14:textId="77777777" w:rsidR="00155B19" w:rsidRPr="0078735C" w:rsidRDefault="00155B19" w:rsidP="00155B19">
            <w:pPr>
              <w:rPr>
                <w:sz w:val="18"/>
                <w:szCs w:val="18"/>
              </w:rPr>
            </w:pPr>
          </w:p>
        </w:tc>
        <w:tc>
          <w:tcPr>
            <w:tcW w:w="899" w:type="dxa"/>
            <w:shd w:val="clear" w:color="auto" w:fill="FFC000"/>
            <w:hideMark/>
          </w:tcPr>
          <w:p w14:paraId="27F20DC3" w14:textId="77777777" w:rsidR="00155B19" w:rsidRPr="0078735C" w:rsidRDefault="00155B19" w:rsidP="00155B19">
            <w:pPr>
              <w:rPr>
                <w:sz w:val="18"/>
                <w:szCs w:val="18"/>
              </w:rPr>
            </w:pPr>
          </w:p>
        </w:tc>
        <w:tc>
          <w:tcPr>
            <w:tcW w:w="926" w:type="dxa"/>
            <w:shd w:val="clear" w:color="auto" w:fill="FFC000"/>
            <w:hideMark/>
          </w:tcPr>
          <w:p w14:paraId="0C06BF9E" w14:textId="77777777" w:rsidR="00155B19" w:rsidRPr="0078735C" w:rsidRDefault="00155B19" w:rsidP="00155B19">
            <w:pPr>
              <w:rPr>
                <w:sz w:val="18"/>
                <w:szCs w:val="18"/>
              </w:rPr>
            </w:pPr>
            <w:r w:rsidRPr="0078735C">
              <w:rPr>
                <w:b/>
                <w:bCs/>
                <w:sz w:val="18"/>
                <w:szCs w:val="18"/>
              </w:rPr>
              <w:t>$$$$$</w:t>
            </w:r>
          </w:p>
          <w:p w14:paraId="79F1D8B3" w14:textId="77777777" w:rsidR="00155B19" w:rsidRPr="0078735C" w:rsidRDefault="00155B19" w:rsidP="00155B19">
            <w:pPr>
              <w:rPr>
                <w:sz w:val="18"/>
                <w:szCs w:val="18"/>
              </w:rPr>
            </w:pPr>
            <w:r w:rsidRPr="0078735C">
              <w:rPr>
                <w:b/>
                <w:bCs/>
                <w:sz w:val="18"/>
                <w:szCs w:val="18"/>
              </w:rPr>
              <w:t>Launch Price</w:t>
            </w:r>
          </w:p>
        </w:tc>
        <w:tc>
          <w:tcPr>
            <w:tcW w:w="1027" w:type="dxa"/>
            <w:shd w:val="clear" w:color="auto" w:fill="FFC000"/>
            <w:hideMark/>
          </w:tcPr>
          <w:p w14:paraId="4E135618" w14:textId="77777777" w:rsidR="00155B19" w:rsidRPr="0078735C" w:rsidRDefault="00155B19" w:rsidP="00155B19">
            <w:pPr>
              <w:rPr>
                <w:sz w:val="18"/>
                <w:szCs w:val="18"/>
              </w:rPr>
            </w:pPr>
            <w:r w:rsidRPr="0078735C">
              <w:rPr>
                <w:b/>
                <w:bCs/>
                <w:sz w:val="18"/>
                <w:szCs w:val="18"/>
              </w:rPr>
              <w:t>$$$$$$</w:t>
            </w:r>
          </w:p>
          <w:p w14:paraId="56DAB55A" w14:textId="77777777" w:rsidR="00155B19" w:rsidRPr="0078735C" w:rsidRDefault="00155B19" w:rsidP="00155B19">
            <w:pPr>
              <w:rPr>
                <w:sz w:val="18"/>
                <w:szCs w:val="18"/>
              </w:rPr>
            </w:pPr>
            <w:r w:rsidRPr="0078735C">
              <w:rPr>
                <w:sz w:val="18"/>
                <w:szCs w:val="18"/>
              </w:rPr>
              <w:t>Price Increase</w:t>
            </w:r>
          </w:p>
        </w:tc>
        <w:tc>
          <w:tcPr>
            <w:tcW w:w="1129" w:type="dxa"/>
            <w:shd w:val="clear" w:color="auto" w:fill="FFC000"/>
            <w:hideMark/>
          </w:tcPr>
          <w:p w14:paraId="1F6C2759" w14:textId="77777777" w:rsidR="00155B19" w:rsidRPr="0078735C" w:rsidRDefault="00155B19" w:rsidP="00155B19">
            <w:pPr>
              <w:rPr>
                <w:sz w:val="18"/>
                <w:szCs w:val="18"/>
              </w:rPr>
            </w:pPr>
            <w:r w:rsidRPr="0078735C">
              <w:rPr>
                <w:b/>
                <w:bCs/>
                <w:sz w:val="18"/>
                <w:szCs w:val="18"/>
              </w:rPr>
              <w:t xml:space="preserve">$$ </w:t>
            </w:r>
          </w:p>
          <w:p w14:paraId="132E3928" w14:textId="77777777" w:rsidR="00155B19" w:rsidRPr="0078735C" w:rsidRDefault="00155B19" w:rsidP="00155B19">
            <w:pPr>
              <w:rPr>
                <w:sz w:val="18"/>
                <w:szCs w:val="18"/>
              </w:rPr>
            </w:pPr>
            <w:r w:rsidRPr="0078735C">
              <w:rPr>
                <w:b/>
                <w:bCs/>
                <w:sz w:val="18"/>
                <w:szCs w:val="18"/>
              </w:rPr>
              <w:t xml:space="preserve">Price </w:t>
            </w:r>
            <w:r w:rsidRPr="00EE5EB3">
              <w:rPr>
                <w:b/>
                <w:bCs/>
                <w:sz w:val="18"/>
                <w:szCs w:val="18"/>
                <w:u w:val="single"/>
              </w:rPr>
              <w:t>Decrease</w:t>
            </w:r>
          </w:p>
        </w:tc>
      </w:tr>
      <w:tr w:rsidR="002E3770" w:rsidRPr="00155B19" w14:paraId="6F546163" w14:textId="77777777" w:rsidTr="001C2199">
        <w:trPr>
          <w:trHeight w:val="200"/>
        </w:trPr>
        <w:tc>
          <w:tcPr>
            <w:tcW w:w="1211" w:type="dxa"/>
            <w:shd w:val="clear" w:color="auto" w:fill="FFC000"/>
            <w:hideMark/>
          </w:tcPr>
          <w:p w14:paraId="6F7DD40F" w14:textId="77777777" w:rsidR="00155B19" w:rsidRPr="0078735C" w:rsidRDefault="00155B19" w:rsidP="00155B19">
            <w:pPr>
              <w:rPr>
                <w:sz w:val="18"/>
                <w:szCs w:val="18"/>
              </w:rPr>
            </w:pPr>
            <w:r w:rsidRPr="0078735C">
              <w:rPr>
                <w:b/>
                <w:bCs/>
                <w:sz w:val="18"/>
                <w:szCs w:val="18"/>
              </w:rPr>
              <w:t>Generics</w:t>
            </w:r>
          </w:p>
          <w:p w14:paraId="493D277A" w14:textId="77777777" w:rsidR="00155B19" w:rsidRPr="0078735C" w:rsidRDefault="00155B19" w:rsidP="00155B19">
            <w:pPr>
              <w:rPr>
                <w:sz w:val="18"/>
                <w:szCs w:val="18"/>
              </w:rPr>
            </w:pPr>
            <w:r w:rsidRPr="0078735C">
              <w:rPr>
                <w:b/>
                <w:bCs/>
                <w:sz w:val="18"/>
                <w:szCs w:val="18"/>
              </w:rPr>
              <w:t xml:space="preserve"> #2 &amp; 3</w:t>
            </w:r>
          </w:p>
        </w:tc>
        <w:tc>
          <w:tcPr>
            <w:tcW w:w="805" w:type="dxa"/>
            <w:shd w:val="clear" w:color="auto" w:fill="FFC000"/>
            <w:hideMark/>
          </w:tcPr>
          <w:p w14:paraId="4A20600A" w14:textId="77777777" w:rsidR="00155B19" w:rsidRPr="0078735C" w:rsidRDefault="00155B19" w:rsidP="00155B19">
            <w:pPr>
              <w:rPr>
                <w:sz w:val="18"/>
                <w:szCs w:val="18"/>
              </w:rPr>
            </w:pPr>
          </w:p>
        </w:tc>
        <w:tc>
          <w:tcPr>
            <w:tcW w:w="899" w:type="dxa"/>
            <w:shd w:val="clear" w:color="auto" w:fill="FFC000"/>
            <w:hideMark/>
          </w:tcPr>
          <w:p w14:paraId="57114EFA" w14:textId="77777777" w:rsidR="00155B19" w:rsidRPr="0078735C" w:rsidRDefault="00155B19" w:rsidP="00155B19">
            <w:pPr>
              <w:rPr>
                <w:sz w:val="18"/>
                <w:szCs w:val="18"/>
              </w:rPr>
            </w:pPr>
          </w:p>
        </w:tc>
        <w:tc>
          <w:tcPr>
            <w:tcW w:w="899" w:type="dxa"/>
            <w:shd w:val="clear" w:color="auto" w:fill="FFC000"/>
            <w:hideMark/>
          </w:tcPr>
          <w:p w14:paraId="4E0FA383" w14:textId="77777777" w:rsidR="00155B19" w:rsidRPr="0078735C" w:rsidRDefault="00155B19" w:rsidP="00155B19">
            <w:pPr>
              <w:rPr>
                <w:sz w:val="18"/>
                <w:szCs w:val="18"/>
              </w:rPr>
            </w:pPr>
          </w:p>
        </w:tc>
        <w:tc>
          <w:tcPr>
            <w:tcW w:w="899" w:type="dxa"/>
            <w:shd w:val="clear" w:color="auto" w:fill="FFC000"/>
            <w:hideMark/>
          </w:tcPr>
          <w:p w14:paraId="4900B87F" w14:textId="77777777" w:rsidR="00155B19" w:rsidRPr="0078735C" w:rsidRDefault="00155B19" w:rsidP="00155B19">
            <w:pPr>
              <w:rPr>
                <w:sz w:val="18"/>
                <w:szCs w:val="18"/>
              </w:rPr>
            </w:pPr>
          </w:p>
        </w:tc>
        <w:tc>
          <w:tcPr>
            <w:tcW w:w="926" w:type="dxa"/>
            <w:shd w:val="clear" w:color="auto" w:fill="FFC000"/>
            <w:hideMark/>
          </w:tcPr>
          <w:p w14:paraId="3BB2CD28" w14:textId="77777777" w:rsidR="00155B19" w:rsidRPr="0078735C" w:rsidRDefault="00155B19" w:rsidP="00155B19">
            <w:pPr>
              <w:rPr>
                <w:sz w:val="18"/>
                <w:szCs w:val="18"/>
              </w:rPr>
            </w:pPr>
          </w:p>
        </w:tc>
        <w:tc>
          <w:tcPr>
            <w:tcW w:w="1027" w:type="dxa"/>
            <w:shd w:val="clear" w:color="auto" w:fill="FFC000"/>
            <w:hideMark/>
          </w:tcPr>
          <w:p w14:paraId="55755C62" w14:textId="77777777" w:rsidR="00155B19" w:rsidRPr="0078735C" w:rsidRDefault="00155B19" w:rsidP="00155B19">
            <w:pPr>
              <w:rPr>
                <w:sz w:val="18"/>
                <w:szCs w:val="18"/>
              </w:rPr>
            </w:pPr>
          </w:p>
        </w:tc>
        <w:tc>
          <w:tcPr>
            <w:tcW w:w="1129" w:type="dxa"/>
            <w:shd w:val="clear" w:color="auto" w:fill="FFC000"/>
            <w:hideMark/>
          </w:tcPr>
          <w:p w14:paraId="1266082D" w14:textId="77777777" w:rsidR="00155B19" w:rsidRPr="0078735C" w:rsidRDefault="00155B19" w:rsidP="00155B19">
            <w:pPr>
              <w:rPr>
                <w:sz w:val="18"/>
                <w:szCs w:val="18"/>
              </w:rPr>
            </w:pPr>
            <w:r w:rsidRPr="0078735C">
              <w:rPr>
                <w:b/>
                <w:bCs/>
                <w:sz w:val="18"/>
                <w:szCs w:val="18"/>
              </w:rPr>
              <w:t>$$ Launch Price</w:t>
            </w:r>
          </w:p>
        </w:tc>
      </w:tr>
    </w:tbl>
    <w:p w14:paraId="10C2B477" w14:textId="60CAD8A0" w:rsidR="00D6703C" w:rsidRPr="00EC2DD8" w:rsidRDefault="00D6703C" w:rsidP="00803A7C">
      <w:pPr>
        <w:rPr>
          <w:color w:val="FF7C80"/>
          <w:sz w:val="32"/>
          <w:szCs w:val="32"/>
        </w:rPr>
      </w:pPr>
      <w:r w:rsidRPr="00EC2DD8">
        <w:rPr>
          <w:color w:val="FF7C80"/>
          <w:sz w:val="32"/>
          <w:szCs w:val="32"/>
        </w:rPr>
        <w:lastRenderedPageBreak/>
        <w:t>Patent Abuse/Patent Thickets Delay</w:t>
      </w:r>
      <w:r w:rsidR="000221B9" w:rsidRPr="00EC2DD8">
        <w:rPr>
          <w:color w:val="FF7C80"/>
          <w:sz w:val="32"/>
          <w:szCs w:val="32"/>
        </w:rPr>
        <w:t xml:space="preserve"> Product and Price Competition</w:t>
      </w:r>
    </w:p>
    <w:p w14:paraId="237BF8F3" w14:textId="1EA3E993" w:rsidR="009551B3" w:rsidRDefault="00E36599" w:rsidP="00803A7C">
      <w:r>
        <w:t>Extending monopoly position of a product is known as ‘evergreening’.</w:t>
      </w:r>
      <w:r w:rsidR="00BE5990">
        <w:t xml:space="preserve"> </w:t>
      </w:r>
      <w:r>
        <w:t xml:space="preserve">This </w:t>
      </w:r>
      <w:r w:rsidR="000E0960">
        <w:t xml:space="preserve">occurs when a company </w:t>
      </w:r>
      <w:r>
        <w:t>return</w:t>
      </w:r>
      <w:r w:rsidR="000E0960">
        <w:t>s to</w:t>
      </w:r>
      <w:r>
        <w:t xml:space="preserve"> the US Patent Office </w:t>
      </w:r>
      <w:r w:rsidR="000E0960">
        <w:t xml:space="preserve">again and again </w:t>
      </w:r>
      <w:r>
        <w:t xml:space="preserve">for new patents on </w:t>
      </w:r>
      <w:r w:rsidR="00AF6970">
        <w:t>an existing product.</w:t>
      </w:r>
      <w:r w:rsidR="00BE5990">
        <w:t xml:space="preserve"> </w:t>
      </w:r>
      <w:r w:rsidR="00AF6970">
        <w:t>Th</w:t>
      </w:r>
      <w:r w:rsidR="00E12888">
        <w:t xml:space="preserve">is </w:t>
      </w:r>
      <w:r w:rsidR="00AF6970">
        <w:t>widely used practice</w:t>
      </w:r>
      <w:r w:rsidR="00C37766">
        <w:t xml:space="preserve"> effectively bars </w:t>
      </w:r>
      <w:r w:rsidR="00EA2CD6">
        <w:t>market entry of competitors.</w:t>
      </w:r>
      <w:r w:rsidR="00BE5990">
        <w:t xml:space="preserve"> </w:t>
      </w:r>
      <w:r w:rsidR="00EA2CD6">
        <w:t>Humira is a prime example of this p</w:t>
      </w:r>
      <w:r w:rsidR="00275F66">
        <w:t>ractice.</w:t>
      </w:r>
      <w:r w:rsidR="00BE5990">
        <w:t xml:space="preserve"> </w:t>
      </w:r>
      <w:r w:rsidR="00275F66">
        <w:t>Humira is widely used for a host of autoimmune disorders and ha</w:t>
      </w:r>
      <w:r w:rsidR="00AF1AA8">
        <w:t>d</w:t>
      </w:r>
      <w:r w:rsidR="00275F66">
        <w:t xml:space="preserve"> annual revenues of $</w:t>
      </w:r>
      <w:r w:rsidR="009551B3">
        <w:t>19.73 billion in 2019</w:t>
      </w:r>
      <w:r w:rsidR="00275F66">
        <w:t xml:space="preserve"> and </w:t>
      </w:r>
      <w:r w:rsidR="00472779">
        <w:t>an</w:t>
      </w:r>
      <w:r w:rsidR="00275F66">
        <w:t xml:space="preserve"> </w:t>
      </w:r>
      <w:r w:rsidR="0057382B">
        <w:t>annual cost of $</w:t>
      </w:r>
      <w:r w:rsidR="009551B3">
        <w:t>72,000</w:t>
      </w:r>
      <w:r w:rsidR="0057382B">
        <w:t xml:space="preserve"> per patient</w:t>
      </w:r>
      <w:r w:rsidR="009551B3">
        <w:t xml:space="preserve"> in 2020</w:t>
      </w:r>
      <w:r w:rsidR="0057382B">
        <w:t>.</w:t>
      </w:r>
      <w:r w:rsidR="00BE5990">
        <w:t xml:space="preserve"> </w:t>
      </w:r>
      <w:r w:rsidR="00AF1AA8">
        <w:t>It ha</w:t>
      </w:r>
      <w:r w:rsidR="00CB4F22">
        <w:t>s 39 years of patent protection.</w:t>
      </w:r>
      <w:r w:rsidR="00BE5990">
        <w:t xml:space="preserve"> </w:t>
      </w:r>
      <w:r w:rsidR="00A621D5">
        <w:t xml:space="preserve"> </w:t>
      </w:r>
      <w:r w:rsidR="00CB4F22">
        <w:t>A product generally has 7 to 10 years of patent protection when it comes to market.</w:t>
      </w:r>
    </w:p>
    <w:p w14:paraId="60E5564D" w14:textId="62FD0D8C" w:rsidR="00AF4AE8" w:rsidRDefault="0057382B" w:rsidP="00803A7C">
      <w:r>
        <w:t xml:space="preserve">The chart below shows some of the more notorious patent </w:t>
      </w:r>
      <w:r w:rsidR="00C202D1">
        <w:t>extensions</w:t>
      </w:r>
      <w:r>
        <w:t>.</w:t>
      </w:r>
      <w:r w:rsidR="00BE5990">
        <w:t xml:space="preserve"> </w:t>
      </w:r>
      <w:r w:rsidR="00877E2B">
        <w:t xml:space="preserve">These are considered abuses because the practice is </w:t>
      </w:r>
      <w:r w:rsidR="00472779">
        <w:t>legal</w:t>
      </w:r>
      <w:r w:rsidR="000276E4">
        <w:t xml:space="preserve">; most people agree that </w:t>
      </w:r>
      <w:r w:rsidR="00877E2B">
        <w:t xml:space="preserve">the patent system </w:t>
      </w:r>
      <w:r w:rsidR="000276E4">
        <w:t xml:space="preserve">is not intended to provide </w:t>
      </w:r>
      <w:r w:rsidR="000266BE">
        <w:t xml:space="preserve">decades of product monopoly and unfettered price taking.  </w:t>
      </w:r>
      <w:r w:rsidR="00877E2B">
        <w:t xml:space="preserve"> </w:t>
      </w:r>
      <w:r w:rsidR="00F97500">
        <w:t xml:space="preserve">We are also at a point where we grant </w:t>
      </w:r>
      <w:r w:rsidR="008A6037">
        <w:t>additional</w:t>
      </w:r>
      <w:r w:rsidR="006B2A77">
        <w:t>/extended</w:t>
      </w:r>
      <w:r w:rsidR="008A6037">
        <w:t xml:space="preserve"> patent protection for</w:t>
      </w:r>
      <w:r w:rsidR="00EC477A">
        <w:t xml:space="preserve"> product changes </w:t>
      </w:r>
      <w:r w:rsidR="008A6037">
        <w:t>that are not</w:t>
      </w:r>
      <w:r w:rsidR="00EC477A">
        <w:t xml:space="preserve"> </w:t>
      </w:r>
      <w:r w:rsidR="008A6037">
        <w:t>significant</w:t>
      </w:r>
      <w:r w:rsidR="006B2A77">
        <w:t>.</w:t>
      </w:r>
      <w:r w:rsidR="00BE5990">
        <w:t xml:space="preserve"> </w:t>
      </w:r>
    </w:p>
    <w:p w14:paraId="2530A1B9" w14:textId="5D09CBB7" w:rsidR="00AF4AE8" w:rsidRDefault="002C5D34" w:rsidP="00803A7C">
      <w:r>
        <w:rPr>
          <w:noProof/>
        </w:rPr>
        <w:drawing>
          <wp:inline distT="0" distB="0" distL="0" distR="0" wp14:anchorId="7C4E693B" wp14:editId="51419BFB">
            <wp:extent cx="5943600" cy="2242820"/>
            <wp:effectExtent l="0" t="0" r="0" b="5080"/>
            <wp:docPr id="6" name="Content Placeholder 4" descr="A screenshot of a cell phone&#10;&#10;Description automatically generated">
              <a:extLst xmlns:a="http://schemas.openxmlformats.org/drawingml/2006/main">
                <a:ext uri="{FF2B5EF4-FFF2-40B4-BE49-F238E27FC236}">
                  <a16:creationId xmlns:a16="http://schemas.microsoft.com/office/drawing/2014/main" id="{BCFD736A-88A8-464C-AEEF-D911E2BE2EE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screenshot of a cell phone&#10;&#10;Description automatically generated">
                      <a:extLst>
                        <a:ext uri="{FF2B5EF4-FFF2-40B4-BE49-F238E27FC236}">
                          <a16:creationId xmlns:a16="http://schemas.microsoft.com/office/drawing/2014/main" id="{BCFD736A-88A8-464C-AEEF-D911E2BE2EEC}"/>
                        </a:ext>
                      </a:extLst>
                    </pic:cNvPr>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943600" cy="2242820"/>
                    </a:xfrm>
                    <a:prstGeom prst="rect">
                      <a:avLst/>
                    </a:prstGeom>
                  </pic:spPr>
                </pic:pic>
              </a:graphicData>
            </a:graphic>
          </wp:inline>
        </w:drawing>
      </w:r>
    </w:p>
    <w:p w14:paraId="5BD91C05" w14:textId="352A7961" w:rsidR="002C5D34" w:rsidRDefault="002C5D34" w:rsidP="00803A7C">
      <w:r>
        <w:t>Source: I-</w:t>
      </w:r>
      <w:proofErr w:type="spellStart"/>
      <w:r>
        <w:t>Mak</w:t>
      </w:r>
      <w:proofErr w:type="spellEnd"/>
      <w:r>
        <w:t xml:space="preserve"> August 2018</w:t>
      </w:r>
    </w:p>
    <w:p w14:paraId="7D3F6491" w14:textId="6548DD9E" w:rsidR="000221B9" w:rsidRPr="001835A0" w:rsidRDefault="000221B9" w:rsidP="00803A7C">
      <w:pPr>
        <w:rPr>
          <w:color w:val="FF0000"/>
          <w:sz w:val="32"/>
          <w:szCs w:val="32"/>
        </w:rPr>
      </w:pPr>
      <w:r w:rsidRPr="001835A0">
        <w:rPr>
          <w:color w:val="FF0000"/>
          <w:sz w:val="32"/>
          <w:szCs w:val="32"/>
        </w:rPr>
        <w:t>Industry Lobby Power, Federal and State</w:t>
      </w:r>
    </w:p>
    <w:p w14:paraId="376AEE0F" w14:textId="7FB215E5" w:rsidR="00C155A8" w:rsidRDefault="00590087" w:rsidP="00803A7C">
      <w:r>
        <w:t>The amount the industry spends to lobby federal and state legislators is legendary.</w:t>
      </w:r>
      <w:r w:rsidR="00BE5990">
        <w:t xml:space="preserve"> </w:t>
      </w:r>
    </w:p>
    <w:p w14:paraId="710F3D4A" w14:textId="6DA54F42" w:rsidR="001A412F" w:rsidRDefault="00855710" w:rsidP="00803A7C">
      <w:hyperlink r:id="rId21" w:history="1">
        <w:proofErr w:type="spellStart"/>
        <w:r w:rsidR="00384748" w:rsidRPr="00384748">
          <w:rPr>
            <w:rStyle w:val="Hyperlink"/>
          </w:rPr>
          <w:t>OpenSecrets</w:t>
        </w:r>
        <w:proofErr w:type="spellEnd"/>
      </w:hyperlink>
      <w:r w:rsidR="00384748">
        <w:t xml:space="preserve"> </w:t>
      </w:r>
      <w:r w:rsidR="00AC0FD5">
        <w:t xml:space="preserve">tracks </w:t>
      </w:r>
      <w:r w:rsidR="004D44DF">
        <w:t xml:space="preserve">federal </w:t>
      </w:r>
      <w:r w:rsidR="00AC0FD5">
        <w:t>lobbying money for many industries.</w:t>
      </w:r>
      <w:r w:rsidR="00BE5990">
        <w:t xml:space="preserve"> </w:t>
      </w:r>
      <w:r w:rsidR="00AC0FD5">
        <w:t xml:space="preserve">They show that </w:t>
      </w:r>
      <w:r w:rsidR="009D7A26">
        <w:t>industry spent $</w:t>
      </w:r>
      <w:r w:rsidR="00A72188">
        <w:t>161</w:t>
      </w:r>
      <w:r w:rsidR="009D7A26">
        <w:t xml:space="preserve">M in lobbying </w:t>
      </w:r>
      <w:r w:rsidR="00474109">
        <w:t xml:space="preserve">2020.  </w:t>
      </w:r>
      <w:r w:rsidR="004D44DF">
        <w:t>A recent analys</w:t>
      </w:r>
      <w:r w:rsidR="00BD5920">
        <w:t xml:space="preserve">is conducted by </w:t>
      </w:r>
      <w:proofErr w:type="spellStart"/>
      <w:r w:rsidR="00BD5920">
        <w:t>STATNews</w:t>
      </w:r>
      <w:proofErr w:type="spellEnd"/>
      <w:r w:rsidR="00BD5920">
        <w:t xml:space="preserve"> and National Institute for Money in Politics found that the industry gave over $5 million to </w:t>
      </w:r>
      <w:r w:rsidR="00425BE4">
        <w:t xml:space="preserve">almost 2000 </w:t>
      </w:r>
      <w:r w:rsidR="00BD5920">
        <w:t>state legislators in two years ending September 2020</w:t>
      </w:r>
      <w:r w:rsidR="00220B8F">
        <w:t xml:space="preserve"> (STAT 10/15/2020).</w:t>
      </w:r>
    </w:p>
    <w:p w14:paraId="0B5A7EDA" w14:textId="4EA2EDF8" w:rsidR="001A412F" w:rsidRDefault="001A412F" w:rsidP="00803A7C">
      <w:r>
        <w:t xml:space="preserve">The industry also gives to federal and state candidates and political </w:t>
      </w:r>
      <w:r w:rsidR="00243F32">
        <w:t>party committees.</w:t>
      </w:r>
      <w:r w:rsidR="00BE5990">
        <w:t xml:space="preserve"> </w:t>
      </w:r>
      <w:r w:rsidR="00243F32">
        <w:t>The industry is reported to outspend all other industries in most years.</w:t>
      </w:r>
      <w:r w:rsidR="00BE5990">
        <w:t xml:space="preserve"> </w:t>
      </w:r>
    </w:p>
    <w:p w14:paraId="6A3B3E90" w14:textId="42FAC437" w:rsidR="002B01BC" w:rsidRDefault="00665EAF" w:rsidP="00803A7C">
      <w:pPr>
        <w:rPr>
          <w:color w:val="FF0066"/>
          <w:sz w:val="32"/>
          <w:szCs w:val="32"/>
        </w:rPr>
      </w:pPr>
      <w:r>
        <w:t xml:space="preserve"> </w:t>
      </w:r>
      <w:r w:rsidR="002B01BC">
        <w:rPr>
          <w:color w:val="FF0066"/>
          <w:sz w:val="32"/>
          <w:szCs w:val="32"/>
        </w:rPr>
        <w:t>Patient Treatment Advocacy</w:t>
      </w:r>
    </w:p>
    <w:p w14:paraId="4FF4BCD1" w14:textId="2DF347F5" w:rsidR="002B01BC" w:rsidRDefault="00727A8C" w:rsidP="00803A7C">
      <w:r>
        <w:t>The p</w:t>
      </w:r>
      <w:r w:rsidR="00BB232C" w:rsidRPr="002B01BC">
        <w:t>harma</w:t>
      </w:r>
      <w:r>
        <w:t>ceutical industry</w:t>
      </w:r>
      <w:r w:rsidR="00BB232C" w:rsidRPr="002B01BC">
        <w:t xml:space="preserve"> funds disease advocacy organization</w:t>
      </w:r>
      <w:r w:rsidR="0088622E" w:rsidRPr="002B01BC">
        <w:t xml:space="preserve">s that </w:t>
      </w:r>
      <w:r w:rsidR="002B01BC">
        <w:t xml:space="preserve">have historically supported pharma pricing because of the idea that it supports </w:t>
      </w:r>
      <w:r w:rsidR="00CF0598">
        <w:t>research and development for unmet medical needs in rare diseases.</w:t>
      </w:r>
      <w:r w:rsidR="00BE5990">
        <w:t xml:space="preserve"> </w:t>
      </w:r>
      <w:r>
        <w:t xml:space="preserve">Interestingly, </w:t>
      </w:r>
      <w:r w:rsidR="00C10A13">
        <w:t>several</w:t>
      </w:r>
      <w:r>
        <w:t xml:space="preserve"> patient groups </w:t>
      </w:r>
      <w:r w:rsidR="004C10ED">
        <w:t xml:space="preserve">raise funds to sponsor research into new treatments for their diseases; Cystic Fibrosis, </w:t>
      </w:r>
      <w:r w:rsidR="00054FAA">
        <w:t>Hemophilia</w:t>
      </w:r>
      <w:r w:rsidR="004C10ED">
        <w:t xml:space="preserve">, and </w:t>
      </w:r>
      <w:r w:rsidR="00946243">
        <w:t xml:space="preserve">Multiple Sclerosis </w:t>
      </w:r>
      <w:r w:rsidR="004C10ED">
        <w:t xml:space="preserve">disease groups are </w:t>
      </w:r>
      <w:r w:rsidR="004C10ED">
        <w:lastRenderedPageBreak/>
        <w:t>examples of th</w:t>
      </w:r>
      <w:r w:rsidR="00150328">
        <w:t>ese</w:t>
      </w:r>
      <w:r w:rsidR="004C10ED">
        <w:t xml:space="preserve"> </w:t>
      </w:r>
      <w:r w:rsidR="00150328">
        <w:t xml:space="preserve">incredible patient </w:t>
      </w:r>
      <w:r w:rsidR="00083D7E">
        <w:t>initiatives,</w:t>
      </w:r>
      <w:r w:rsidR="00150328">
        <w:t xml:space="preserve"> but they have tended in the past to not be concerned with the phenomenal prices of the treatments that are </w:t>
      </w:r>
      <w:r w:rsidR="00CC7E7F">
        <w:t>brought to market by manufacturers using the basic research created by the patient groups.</w:t>
      </w:r>
      <w:r w:rsidR="00BE5990">
        <w:t xml:space="preserve"> </w:t>
      </w:r>
      <w:r w:rsidR="00CC7E7F">
        <w:t xml:space="preserve">Some of the patient groups generate revenues </w:t>
      </w:r>
      <w:r w:rsidR="009828F7">
        <w:t>from royalties that are returned to their R&amp;D spending for more treatments.</w:t>
      </w:r>
      <w:r w:rsidR="00BE5990">
        <w:t xml:space="preserve"> </w:t>
      </w:r>
      <w:r w:rsidR="00461732">
        <w:t>Some of the patient groups, like the MS Society, are increasingly concerned and vocal about extreme product pricing.</w:t>
      </w:r>
      <w:r w:rsidR="00BE5990">
        <w:t xml:space="preserve"> </w:t>
      </w:r>
    </w:p>
    <w:p w14:paraId="7DAC2650" w14:textId="13B95E5F" w:rsidR="00127864" w:rsidRDefault="00127864" w:rsidP="00803A7C">
      <w:r>
        <w:t xml:space="preserve">The </w:t>
      </w:r>
      <w:hyperlink r:id="rId22" w:history="1">
        <w:r w:rsidRPr="0057029B">
          <w:rPr>
            <w:rStyle w:val="Hyperlink"/>
          </w:rPr>
          <w:t>Kaiser Family Foundation</w:t>
        </w:r>
      </w:hyperlink>
      <w:r>
        <w:t xml:space="preserve"> </w:t>
      </w:r>
      <w:r w:rsidR="0057029B">
        <w:t>h</w:t>
      </w:r>
      <w:r>
        <w:t xml:space="preserve">as a database of industry giving and patient </w:t>
      </w:r>
      <w:r w:rsidR="00A80F0E">
        <w:t xml:space="preserve">group </w:t>
      </w:r>
      <w:r>
        <w:t>reporting for 2015.</w:t>
      </w:r>
      <w:r w:rsidR="00BE5990">
        <w:t xml:space="preserve"> </w:t>
      </w:r>
      <w:r>
        <w:t>They tracked $163 million</w:t>
      </w:r>
      <w:r w:rsidR="00443FA5">
        <w:t xml:space="preserve"> in funding to 650 patient groups.</w:t>
      </w:r>
      <w:r w:rsidR="00BE5990">
        <w:t xml:space="preserve"> </w:t>
      </w:r>
      <w:r w:rsidR="00443FA5">
        <w:t>Some groups report the funding on their websites, others do not.</w:t>
      </w:r>
      <w:r w:rsidR="00BE5990">
        <w:t xml:space="preserve"> </w:t>
      </w:r>
      <w:r w:rsidR="00443FA5">
        <w:t xml:space="preserve">Nevada has </w:t>
      </w:r>
      <w:r w:rsidR="009275B3">
        <w:t>a law that requires patient advocacy groups to report industry funding.</w:t>
      </w:r>
      <w:r w:rsidR="00BE5990">
        <w:t xml:space="preserve"> </w:t>
      </w:r>
      <w:r w:rsidR="009275B3">
        <w:t>Most states do not require such transparency.</w:t>
      </w:r>
      <w:r w:rsidR="00BE5990">
        <w:t xml:space="preserve"> </w:t>
      </w:r>
      <w:r>
        <w:t xml:space="preserve"> </w:t>
      </w:r>
    </w:p>
    <w:p w14:paraId="7EC7EC90" w14:textId="40B4F2D7" w:rsidR="00845489" w:rsidRPr="00994228" w:rsidRDefault="001B520D" w:rsidP="00994228">
      <w:pPr>
        <w:rPr>
          <w:color w:val="2E74B5" w:themeColor="accent5" w:themeShade="BF"/>
          <w:sz w:val="32"/>
          <w:szCs w:val="32"/>
        </w:rPr>
      </w:pPr>
      <w:r w:rsidRPr="00994228">
        <w:rPr>
          <w:color w:val="2E74B5" w:themeColor="accent5" w:themeShade="BF"/>
          <w:sz w:val="32"/>
          <w:szCs w:val="32"/>
        </w:rPr>
        <w:t xml:space="preserve">Insurer Inability to </w:t>
      </w:r>
      <w:r w:rsidR="001865FD" w:rsidRPr="00994228">
        <w:rPr>
          <w:color w:val="2E74B5" w:themeColor="accent5" w:themeShade="BF"/>
          <w:sz w:val="32"/>
          <w:szCs w:val="32"/>
        </w:rPr>
        <w:t>Keep Pace with Industry Business Model Shifts</w:t>
      </w:r>
    </w:p>
    <w:p w14:paraId="344E56D6" w14:textId="6C62E2B6" w:rsidR="005F492D" w:rsidRDefault="00A33ED5" w:rsidP="00803A7C">
      <w:r>
        <w:t xml:space="preserve">Insurers </w:t>
      </w:r>
      <w:r w:rsidR="00076857">
        <w:t>face a growing challenge in managing prescription drug costs, particularly small insurers such as state employee benefit plans and small group</w:t>
      </w:r>
      <w:r w:rsidR="008F40B3">
        <w:t xml:space="preserve"> insurers.</w:t>
      </w:r>
      <w:r w:rsidR="00BE5990">
        <w:t xml:space="preserve"> </w:t>
      </w:r>
      <w:r w:rsidR="008F40B3">
        <w:t xml:space="preserve">The pressure to cover new treatments for rare diseases or diseases with significant unmet </w:t>
      </w:r>
      <w:r w:rsidR="009D7353">
        <w:t>treatment needs is great.</w:t>
      </w:r>
      <w:r w:rsidR="00BE5990">
        <w:t xml:space="preserve"> </w:t>
      </w:r>
      <w:r w:rsidR="009D7353">
        <w:t xml:space="preserve">Insurers know that high patient cost sharing is not optimal for health outcomes but the tools by which to manage the cost of prescription drugs </w:t>
      </w:r>
      <w:r w:rsidR="00F04E2D">
        <w:t>(retail and physician administered) are increasing</w:t>
      </w:r>
      <w:r w:rsidR="00F0410B">
        <w:t>ly</w:t>
      </w:r>
      <w:r w:rsidR="00F04E2D">
        <w:t xml:space="preserve"> insufficient to the task.</w:t>
      </w:r>
      <w:r w:rsidR="00BE5990">
        <w:t xml:space="preserve"> </w:t>
      </w:r>
      <w:r w:rsidR="00F04E2D">
        <w:t xml:space="preserve">Insurers </w:t>
      </w:r>
      <w:r w:rsidR="00BF6DA7">
        <w:t>must</w:t>
      </w:r>
      <w:r w:rsidR="00F04E2D">
        <w:t xml:space="preserve"> balance keeping premiums affordable </w:t>
      </w:r>
      <w:r w:rsidR="009A4FD8">
        <w:t xml:space="preserve">for everyone </w:t>
      </w:r>
      <w:r w:rsidR="00F04E2D">
        <w:t xml:space="preserve">and </w:t>
      </w:r>
      <w:r w:rsidR="009A4FD8">
        <w:t>providing</w:t>
      </w:r>
      <w:r w:rsidR="00F04E2D">
        <w:t xml:space="preserve"> access to new costly treatments</w:t>
      </w:r>
      <w:r w:rsidR="000B0ADA">
        <w:t xml:space="preserve"> for </w:t>
      </w:r>
      <w:r w:rsidR="00704CD6">
        <w:t>individuals</w:t>
      </w:r>
      <w:r w:rsidR="00F04E2D">
        <w:t>.</w:t>
      </w:r>
      <w:r w:rsidR="00BE5990">
        <w:t xml:space="preserve"> </w:t>
      </w:r>
      <w:r w:rsidR="00417329">
        <w:t>As mentioned at the beginning, pharmacy costs consume a significant portion of the premium dollar.</w:t>
      </w:r>
      <w:r w:rsidR="00BE5990">
        <w:t xml:space="preserve"> </w:t>
      </w:r>
      <w:r w:rsidR="004C59AC">
        <w:t>The</w:t>
      </w:r>
      <w:r w:rsidR="00704CD6">
        <w:t xml:space="preserve"> pharmaceutical</w:t>
      </w:r>
      <w:r w:rsidR="004C59AC">
        <w:t xml:space="preserve"> industry will point out that hospital spending accounts for more healthcare spending than pharmaceuticals.</w:t>
      </w:r>
      <w:r w:rsidR="00BE5990">
        <w:t xml:space="preserve"> </w:t>
      </w:r>
      <w:r w:rsidR="004C59AC">
        <w:t xml:space="preserve">That is true, but </w:t>
      </w:r>
      <w:r w:rsidR="00BF6DA7">
        <w:t>most</w:t>
      </w:r>
      <w:r w:rsidR="002E1DDE">
        <w:t xml:space="preserve"> Americans take prescriptions that they increasingly cannot afford, </w:t>
      </w:r>
      <w:r w:rsidR="00F83EFD">
        <w:t>while</w:t>
      </w:r>
      <w:r w:rsidR="000C5450">
        <w:t xml:space="preserve"> most Americans </w:t>
      </w:r>
      <w:r w:rsidR="00F83EFD">
        <w:t>d</w:t>
      </w:r>
      <w:r w:rsidR="000C5450">
        <w:t>o not wind up in the hospital in any year.</w:t>
      </w:r>
      <w:r w:rsidR="00704CD6">
        <w:t xml:space="preserve"> The pharmaceutical pricing business model is</w:t>
      </w:r>
      <w:r w:rsidR="00926C30">
        <w:t xml:space="preserve"> a</w:t>
      </w:r>
      <w:r w:rsidR="00704CD6">
        <w:t xml:space="preserve"> </w:t>
      </w:r>
      <w:r w:rsidR="00A422CB">
        <w:t>fast-growing threat to patient access.</w:t>
      </w:r>
      <w:r w:rsidR="00BE5990">
        <w:t xml:space="preserve"> </w:t>
      </w:r>
      <w:r w:rsidR="00A57CE9">
        <w:t>Our healthcare system has many problems, but that does not mean that the cost of pharmaceuticals is not important</w:t>
      </w:r>
      <w:r w:rsidR="001D27E8">
        <w:t xml:space="preserve">. </w:t>
      </w:r>
    </w:p>
    <w:p w14:paraId="48C16C15" w14:textId="61BB11CB" w:rsidR="008C2DF3" w:rsidRPr="000529CA" w:rsidRDefault="00994228" w:rsidP="00803A7C">
      <w:pPr>
        <w:rPr>
          <w:color w:val="538135" w:themeColor="accent6" w:themeShade="BF"/>
          <w:sz w:val="32"/>
          <w:szCs w:val="32"/>
        </w:rPr>
      </w:pPr>
      <w:r w:rsidRPr="000529CA">
        <w:rPr>
          <w:color w:val="538135" w:themeColor="accent6" w:themeShade="BF"/>
          <w:sz w:val="32"/>
          <w:szCs w:val="32"/>
        </w:rPr>
        <w:t>Layers of Market</w:t>
      </w:r>
      <w:r w:rsidR="008C2DF3" w:rsidRPr="000529CA">
        <w:rPr>
          <w:color w:val="538135" w:themeColor="accent6" w:themeShade="BF"/>
          <w:sz w:val="32"/>
          <w:szCs w:val="32"/>
        </w:rPr>
        <w:t xml:space="preserve"> </w:t>
      </w:r>
      <w:r w:rsidRPr="000529CA">
        <w:rPr>
          <w:color w:val="538135" w:themeColor="accent6" w:themeShade="BF"/>
          <w:sz w:val="32"/>
          <w:szCs w:val="32"/>
        </w:rPr>
        <w:t>D</w:t>
      </w:r>
      <w:r w:rsidR="008C2DF3" w:rsidRPr="000529CA">
        <w:rPr>
          <w:color w:val="538135" w:themeColor="accent6" w:themeShade="BF"/>
          <w:sz w:val="32"/>
          <w:szCs w:val="32"/>
        </w:rPr>
        <w:t>ysfunction</w:t>
      </w:r>
    </w:p>
    <w:p w14:paraId="19C208A6" w14:textId="7E30EB5E" w:rsidR="008C2DF3" w:rsidRPr="00A33ED5" w:rsidRDefault="003C3021" w:rsidP="00803A7C">
      <w:r>
        <w:t xml:space="preserve">As pharmaceutical companies focused on Wall Street and raised prices to satisfy Wall Street, all sorts of </w:t>
      </w:r>
      <w:hyperlink r:id="rId23" w:anchor="more" w:history="1">
        <w:r w:rsidR="000B286F" w:rsidRPr="000B5F8A">
          <w:rPr>
            <w:rStyle w:val="Hyperlink"/>
          </w:rPr>
          <w:t>market dysfunctions</w:t>
        </w:r>
      </w:hyperlink>
      <w:r w:rsidR="000B286F">
        <w:t xml:space="preserve"> were created.  </w:t>
      </w:r>
      <w:r w:rsidR="000B5F8A">
        <w:t>It is difficult to catalogue and follow</w:t>
      </w:r>
      <w:r w:rsidR="00AB6F05">
        <w:t xml:space="preserve"> all the dysfunction</w:t>
      </w:r>
      <w:r w:rsidR="0027075B">
        <w:t xml:space="preserve">.  But the important point is that the dysfunction started with </w:t>
      </w:r>
      <w:r w:rsidR="006620BB">
        <w:t>price maximization strategies of the pharmaceutical industry</w:t>
      </w:r>
      <w:r w:rsidR="0028224C">
        <w:t>, which gave rise the rebate strategy which create</w:t>
      </w:r>
      <w:r w:rsidR="00AB6F05">
        <w:t>d</w:t>
      </w:r>
      <w:r w:rsidR="0028224C">
        <w:t xml:space="preserve"> new opportunities for other entities to profit from high and higher prices, which </w:t>
      </w:r>
      <w:r w:rsidR="00AB6F05">
        <w:t xml:space="preserve">then resulted in </w:t>
      </w:r>
      <w:r w:rsidR="0028224C">
        <w:t xml:space="preserve">PBM monitoring companies and the drug discount card industry.  </w:t>
      </w:r>
      <w:r w:rsidR="006620BB">
        <w:t xml:space="preserve"> </w:t>
      </w:r>
      <w:r w:rsidR="007C3CFE">
        <w:t>T</w:t>
      </w:r>
      <w:r w:rsidR="00125E82">
        <w:t xml:space="preserve">he system is mess and </w:t>
      </w:r>
      <w:r w:rsidR="001A72D6">
        <w:t xml:space="preserve">getting worse.  While </w:t>
      </w:r>
      <w:r w:rsidR="00A37F40">
        <w:t xml:space="preserve">large </w:t>
      </w:r>
      <w:r w:rsidR="007C3CFE">
        <w:t>PBM</w:t>
      </w:r>
      <w:r w:rsidR="00A37F40">
        <w:t xml:space="preserve">, insurer, and drug companies can find ways to preserve their </w:t>
      </w:r>
      <w:r w:rsidR="00BD7D53">
        <w:t>businesses,</w:t>
      </w:r>
      <w:r w:rsidR="00125E82">
        <w:t xml:space="preserve"> consumers and patients</w:t>
      </w:r>
      <w:r w:rsidR="002F139F">
        <w:t xml:space="preserve"> </w:t>
      </w:r>
      <w:r w:rsidR="004408C8">
        <w:t xml:space="preserve">take </w:t>
      </w:r>
      <w:r w:rsidR="002F139F">
        <w:t xml:space="preserve">more and more of the </w:t>
      </w:r>
      <w:r w:rsidR="004408C8">
        <w:t>brunt of</w:t>
      </w:r>
      <w:r w:rsidR="002F139F">
        <w:t xml:space="preserve"> the dysfunction.  </w:t>
      </w:r>
      <w:r w:rsidR="004408C8">
        <w:t xml:space="preserve"> </w:t>
      </w:r>
    </w:p>
    <w:p w14:paraId="78339214" w14:textId="1EA4AB0F" w:rsidR="001B520D" w:rsidRPr="001D27E8" w:rsidRDefault="001D27E8" w:rsidP="00803A7C">
      <w:pPr>
        <w:rPr>
          <w:sz w:val="32"/>
          <w:szCs w:val="32"/>
        </w:rPr>
      </w:pPr>
      <w:r w:rsidRPr="001D27E8">
        <w:rPr>
          <w:sz w:val="32"/>
          <w:szCs w:val="32"/>
        </w:rPr>
        <w:t xml:space="preserve">Conclusion </w:t>
      </w:r>
    </w:p>
    <w:p w14:paraId="4E9E68F3" w14:textId="491D110A" w:rsidR="00C51FFA" w:rsidRDefault="004829D5" w:rsidP="004829D5">
      <w:r>
        <w:t>“Affordability” is the piece that is missing from the biopharmaceutical market and from the discussion pharmaceutical costs.</w:t>
      </w:r>
      <w:r w:rsidR="00BE5990">
        <w:t xml:space="preserve"> </w:t>
      </w:r>
      <w:r w:rsidR="00C51FFA">
        <w:t>Affordability is what consumers and insurers think about.</w:t>
      </w:r>
      <w:r w:rsidR="00BE5990">
        <w:t xml:space="preserve"> </w:t>
      </w:r>
      <w:r w:rsidR="00C51FFA">
        <w:t>A focus on affordability can stem the need for tradeoffs between spending on healthcare and</w:t>
      </w:r>
      <w:r w:rsidR="00213F78">
        <w:t xml:space="preserve"> spending on</w:t>
      </w:r>
      <w:r w:rsidR="00C51FFA">
        <w:t xml:space="preserve"> other important public and private </w:t>
      </w:r>
      <w:r w:rsidR="009A54D1">
        <w:t>needs</w:t>
      </w:r>
      <w:r w:rsidR="00C51FFA">
        <w:t xml:space="preserve">. </w:t>
      </w:r>
    </w:p>
    <w:p w14:paraId="1BAECECA" w14:textId="49778CE8" w:rsidR="00FC4AA2" w:rsidRDefault="00213F78" w:rsidP="00FC4AA2">
      <w:r>
        <w:t>In contrast to “affordability”, t</w:t>
      </w:r>
      <w:r w:rsidR="00017365">
        <w:t>he pharmaceutical industry speaks about the value of their products.</w:t>
      </w:r>
      <w:r w:rsidR="00BE5990">
        <w:t xml:space="preserve"> </w:t>
      </w:r>
      <w:r w:rsidR="00017365">
        <w:t>The reality is that any product is of high value to the patient for whom the product improves or extends life.</w:t>
      </w:r>
      <w:r w:rsidR="00BE5990">
        <w:t xml:space="preserve"> </w:t>
      </w:r>
      <w:r w:rsidR="00017365">
        <w:t>But an invaluable product is not necessarily an affordable product for the individual or society.</w:t>
      </w:r>
      <w:r w:rsidR="00BE5990">
        <w:t xml:space="preserve"> </w:t>
      </w:r>
      <w:r w:rsidR="00FC4AA2">
        <w:t xml:space="preserve">I like to </w:t>
      </w:r>
      <w:r w:rsidR="00FC4AA2">
        <w:lastRenderedPageBreak/>
        <w:t>make a rough analogy to the value of clean water, the value of telecommunications, electricity, or public transportation to our health and welfare.</w:t>
      </w:r>
      <w:r w:rsidR="00BE5990">
        <w:t xml:space="preserve"> </w:t>
      </w:r>
      <w:r w:rsidR="00FC4AA2">
        <w:t xml:space="preserve">State governments have worked since the earliest days of these industries to assure that these valuable, vital, indeed lifesaving services are affordable to consumers. </w:t>
      </w:r>
    </w:p>
    <w:p w14:paraId="2F7E4243" w14:textId="3C44705F" w:rsidR="004829D5" w:rsidRDefault="00444296" w:rsidP="00803A7C">
      <w:r>
        <w:t>I believe the solution</w:t>
      </w:r>
      <w:r w:rsidR="0068209A">
        <w:t>s</w:t>
      </w:r>
      <w:r>
        <w:t xml:space="preserve"> to the issues we face in the pharmaceutical market</w:t>
      </w:r>
      <w:r w:rsidR="006D57B2">
        <w:t xml:space="preserve"> require </w:t>
      </w:r>
      <w:r w:rsidR="0068209A">
        <w:t>new public policy.</w:t>
      </w:r>
      <w:r w:rsidR="00BE5990">
        <w:t xml:space="preserve"> </w:t>
      </w:r>
      <w:r w:rsidR="0068209A">
        <w:t>The industry cannot fix itself at this point.</w:t>
      </w:r>
      <w:r w:rsidR="00BE5990">
        <w:t xml:space="preserve"> </w:t>
      </w:r>
      <w:r w:rsidR="0068209A">
        <w:t>The first mover in a new business model that creates affordability is likely to be punished by Wall Street.</w:t>
      </w:r>
      <w:r w:rsidR="00BE5990">
        <w:t xml:space="preserve"> </w:t>
      </w:r>
      <w:r w:rsidR="0068209A">
        <w:t xml:space="preserve"> </w:t>
      </w:r>
      <w:r w:rsidR="00251F47">
        <w:t xml:space="preserve">The industry cannot act collectively without violating important federal laws. </w:t>
      </w:r>
    </w:p>
    <w:p w14:paraId="121DD926" w14:textId="74E93946" w:rsidR="00383B3D" w:rsidRDefault="00730F7F" w:rsidP="00803A7C">
      <w:r>
        <w:t xml:space="preserve">In my opinion, the focus of policymaking should be regulating consumer costs – and doing so in a way that </w:t>
      </w:r>
      <w:r w:rsidR="00080B19">
        <w:t xml:space="preserve">gets a lower cost product </w:t>
      </w:r>
      <w:r w:rsidR="00BC53A0">
        <w:t xml:space="preserve">through the supply chain </w:t>
      </w:r>
      <w:r w:rsidR="00080B19">
        <w:t>to the point of service wh</w:t>
      </w:r>
      <w:r w:rsidR="00FE0768">
        <w:t xml:space="preserve">ere that cost </w:t>
      </w:r>
      <w:r w:rsidR="00BE1C15">
        <w:t xml:space="preserve">is </w:t>
      </w:r>
      <w:r w:rsidR="0022382A">
        <w:t>the bas</w:t>
      </w:r>
      <w:r w:rsidR="00BE1C15">
        <w:t>is</w:t>
      </w:r>
      <w:r w:rsidR="0022382A">
        <w:t xml:space="preserve"> of pharmacy acquisition costs, t</w:t>
      </w:r>
      <w:r w:rsidR="00080B19">
        <w:t>he basis of what a patient pays</w:t>
      </w:r>
      <w:r w:rsidR="0022382A">
        <w:t xml:space="preserve"> out of pocket</w:t>
      </w:r>
      <w:r w:rsidR="002A36F6">
        <w:t>,</w:t>
      </w:r>
      <w:r w:rsidR="00080B19">
        <w:t xml:space="preserve"> and </w:t>
      </w:r>
      <w:r w:rsidR="002A36F6">
        <w:t>the basis for the amount</w:t>
      </w:r>
      <w:r w:rsidR="00080B19">
        <w:t xml:space="preserve"> an insurer reimburses.</w:t>
      </w:r>
      <w:r w:rsidR="00F0655F">
        <w:t xml:space="preserve"> </w:t>
      </w:r>
      <w:r w:rsidR="002A36F6">
        <w:t xml:space="preserve"> SB 844, the Prescription Drug Affordability Board </w:t>
      </w:r>
      <w:r w:rsidR="002A7538">
        <w:t>legislation is an approach th</w:t>
      </w:r>
      <w:r w:rsidR="00383B3D">
        <w:t>at accomplishes all three things and goes a long way to eliminating the market dysfunction we have today</w:t>
      </w:r>
      <w:r w:rsidR="009039C2">
        <w:t xml:space="preserve"> for certain products</w:t>
      </w:r>
      <w:r w:rsidR="00383B3D">
        <w:t xml:space="preserve">.  </w:t>
      </w:r>
    </w:p>
    <w:p w14:paraId="055A84FD" w14:textId="25342F59" w:rsidR="00730F7F" w:rsidRDefault="00E97CC1" w:rsidP="00803A7C">
      <w:r>
        <w:t>The data show that there is room in the industry profits and current spending priorities for lower cost</w:t>
      </w:r>
      <w:r w:rsidR="009039C2">
        <w:t>s</w:t>
      </w:r>
      <w:r>
        <w:t xml:space="preserve"> while still preserving incentives for research and development </w:t>
      </w:r>
      <w:r w:rsidR="00F949E4">
        <w:t>and revenues to support that R&amp;D.</w:t>
      </w:r>
      <w:r w:rsidR="00BE5990">
        <w:t xml:space="preserve"> </w:t>
      </w:r>
      <w:r w:rsidR="0007505F">
        <w:t>Indeed, lower cost products should result in higher utilization – more sales.</w:t>
      </w:r>
      <w:r w:rsidR="00BE5990">
        <w:t xml:space="preserve"> </w:t>
      </w:r>
    </w:p>
    <w:sectPr w:rsidR="00730F7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9FF31" w14:textId="77777777" w:rsidR="00A34751" w:rsidRDefault="00A34751" w:rsidP="0059701F">
      <w:pPr>
        <w:spacing w:after="0" w:line="240" w:lineRule="auto"/>
      </w:pPr>
      <w:r>
        <w:separator/>
      </w:r>
    </w:p>
  </w:endnote>
  <w:endnote w:type="continuationSeparator" w:id="0">
    <w:p w14:paraId="237575DB" w14:textId="77777777" w:rsidR="00A34751" w:rsidRDefault="00A34751" w:rsidP="0059701F">
      <w:pPr>
        <w:spacing w:after="0" w:line="240" w:lineRule="auto"/>
      </w:pPr>
      <w:r>
        <w:continuationSeparator/>
      </w:r>
    </w:p>
  </w:endnote>
  <w:endnote w:id="1">
    <w:p w14:paraId="435BE66E" w14:textId="31C4E85F" w:rsidR="00217242" w:rsidRDefault="00217242">
      <w:pPr>
        <w:pStyle w:val="EndnoteText"/>
      </w:pPr>
      <w:r>
        <w:rPr>
          <w:rStyle w:val="EndnoteReference"/>
        </w:rPr>
        <w:endnoteRef/>
      </w:r>
      <w:r>
        <w:t xml:space="preserve"> </w:t>
      </w:r>
      <w:hyperlink r:id="rId1" w:history="1">
        <w:r w:rsidR="009A5657" w:rsidRPr="002D0ED6">
          <w:rPr>
            <w:rStyle w:val="Hyperlink"/>
          </w:rPr>
          <w:t>https://www.ahip.org/your-health-care-dollar-new-ahip-analysis-shows-where-it-goes/</w:t>
        </w:r>
      </w:hyperlink>
      <w:r w:rsidR="009A5657">
        <w:t>, accessed 3/15/21</w:t>
      </w:r>
    </w:p>
  </w:endnote>
  <w:endnote w:id="2">
    <w:p w14:paraId="06CA8FCD" w14:textId="5BE0542C" w:rsidR="00217242" w:rsidRDefault="00217242">
      <w:pPr>
        <w:pStyle w:val="EndnoteText"/>
      </w:pPr>
      <w:r>
        <w:rPr>
          <w:rStyle w:val="EndnoteReference"/>
        </w:rPr>
        <w:endnoteRef/>
      </w:r>
      <w:r>
        <w:t xml:space="preserve"> The calculation would include State and local government employees and retirees, public school system employees and retirees, prison system employees, dependents, retirees; inmates; higher education employees, </w:t>
      </w:r>
      <w:r w:rsidR="008E2E6B">
        <w:t>dependents,</w:t>
      </w:r>
      <w:r>
        <w:t xml:space="preserve"> and retirees; student clinics; Medicaid enrolle</w:t>
      </w:r>
      <w:r w:rsidR="00056F1C">
        <w:t>e</w:t>
      </w:r>
      <w:r>
        <w:t xml:space="preserve">s – all as a percentage of the total state population.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Cond">
    <w:altName w:val="Georgia Pro Cond"/>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793082"/>
      <w:docPartObj>
        <w:docPartGallery w:val="Page Numbers (Bottom of Page)"/>
        <w:docPartUnique/>
      </w:docPartObj>
    </w:sdtPr>
    <w:sdtEndPr>
      <w:rPr>
        <w:color w:val="7F7F7F" w:themeColor="background1" w:themeShade="7F"/>
        <w:spacing w:val="60"/>
      </w:rPr>
    </w:sdtEndPr>
    <w:sdtContent>
      <w:p w14:paraId="0014AF0C" w14:textId="1BCCC156" w:rsidR="00217242" w:rsidRDefault="0021724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Page/Horvath Health Policy</w:t>
        </w:r>
      </w:p>
    </w:sdtContent>
  </w:sdt>
  <w:p w14:paraId="664826A8" w14:textId="77777777" w:rsidR="00217242" w:rsidRDefault="0021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ED12" w14:textId="77777777" w:rsidR="00A34751" w:rsidRDefault="00A34751" w:rsidP="0059701F">
      <w:pPr>
        <w:spacing w:after="0" w:line="240" w:lineRule="auto"/>
      </w:pPr>
      <w:r>
        <w:separator/>
      </w:r>
    </w:p>
  </w:footnote>
  <w:footnote w:type="continuationSeparator" w:id="0">
    <w:p w14:paraId="650C48B1" w14:textId="77777777" w:rsidR="00A34751" w:rsidRDefault="00A34751" w:rsidP="00597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0FC"/>
    <w:multiLevelType w:val="hybridMultilevel"/>
    <w:tmpl w:val="A066E4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172E"/>
    <w:multiLevelType w:val="hybridMultilevel"/>
    <w:tmpl w:val="D52E0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204E4"/>
    <w:multiLevelType w:val="hybridMultilevel"/>
    <w:tmpl w:val="EF5AC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A45E9"/>
    <w:multiLevelType w:val="hybridMultilevel"/>
    <w:tmpl w:val="861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56F9"/>
    <w:multiLevelType w:val="hybridMultilevel"/>
    <w:tmpl w:val="C3285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623C"/>
    <w:multiLevelType w:val="hybridMultilevel"/>
    <w:tmpl w:val="AF9A1EBC"/>
    <w:lvl w:ilvl="0" w:tplc="92C4F73C">
      <w:start w:val="1"/>
      <w:numFmt w:val="bullet"/>
      <w:lvlText w:val="•"/>
      <w:lvlJc w:val="left"/>
      <w:pPr>
        <w:tabs>
          <w:tab w:val="num" w:pos="720"/>
        </w:tabs>
        <w:ind w:left="720" w:hanging="360"/>
      </w:pPr>
      <w:rPr>
        <w:rFonts w:ascii="Arial" w:hAnsi="Arial" w:hint="default"/>
      </w:rPr>
    </w:lvl>
    <w:lvl w:ilvl="1" w:tplc="592C8480" w:tentative="1">
      <w:start w:val="1"/>
      <w:numFmt w:val="bullet"/>
      <w:lvlText w:val="•"/>
      <w:lvlJc w:val="left"/>
      <w:pPr>
        <w:tabs>
          <w:tab w:val="num" w:pos="1440"/>
        </w:tabs>
        <w:ind w:left="1440" w:hanging="360"/>
      </w:pPr>
      <w:rPr>
        <w:rFonts w:ascii="Arial" w:hAnsi="Arial" w:hint="default"/>
      </w:rPr>
    </w:lvl>
    <w:lvl w:ilvl="2" w:tplc="A20C3E46" w:tentative="1">
      <w:start w:val="1"/>
      <w:numFmt w:val="bullet"/>
      <w:lvlText w:val="•"/>
      <w:lvlJc w:val="left"/>
      <w:pPr>
        <w:tabs>
          <w:tab w:val="num" w:pos="2160"/>
        </w:tabs>
        <w:ind w:left="2160" w:hanging="360"/>
      </w:pPr>
      <w:rPr>
        <w:rFonts w:ascii="Arial" w:hAnsi="Arial" w:hint="default"/>
      </w:rPr>
    </w:lvl>
    <w:lvl w:ilvl="3" w:tplc="6FA6D76A" w:tentative="1">
      <w:start w:val="1"/>
      <w:numFmt w:val="bullet"/>
      <w:lvlText w:val="•"/>
      <w:lvlJc w:val="left"/>
      <w:pPr>
        <w:tabs>
          <w:tab w:val="num" w:pos="2880"/>
        </w:tabs>
        <w:ind w:left="2880" w:hanging="360"/>
      </w:pPr>
      <w:rPr>
        <w:rFonts w:ascii="Arial" w:hAnsi="Arial" w:hint="default"/>
      </w:rPr>
    </w:lvl>
    <w:lvl w:ilvl="4" w:tplc="96D856E2" w:tentative="1">
      <w:start w:val="1"/>
      <w:numFmt w:val="bullet"/>
      <w:lvlText w:val="•"/>
      <w:lvlJc w:val="left"/>
      <w:pPr>
        <w:tabs>
          <w:tab w:val="num" w:pos="3600"/>
        </w:tabs>
        <w:ind w:left="3600" w:hanging="360"/>
      </w:pPr>
      <w:rPr>
        <w:rFonts w:ascii="Arial" w:hAnsi="Arial" w:hint="default"/>
      </w:rPr>
    </w:lvl>
    <w:lvl w:ilvl="5" w:tplc="6DB65992" w:tentative="1">
      <w:start w:val="1"/>
      <w:numFmt w:val="bullet"/>
      <w:lvlText w:val="•"/>
      <w:lvlJc w:val="left"/>
      <w:pPr>
        <w:tabs>
          <w:tab w:val="num" w:pos="4320"/>
        </w:tabs>
        <w:ind w:left="4320" w:hanging="360"/>
      </w:pPr>
      <w:rPr>
        <w:rFonts w:ascii="Arial" w:hAnsi="Arial" w:hint="default"/>
      </w:rPr>
    </w:lvl>
    <w:lvl w:ilvl="6" w:tplc="90405C10" w:tentative="1">
      <w:start w:val="1"/>
      <w:numFmt w:val="bullet"/>
      <w:lvlText w:val="•"/>
      <w:lvlJc w:val="left"/>
      <w:pPr>
        <w:tabs>
          <w:tab w:val="num" w:pos="5040"/>
        </w:tabs>
        <w:ind w:left="5040" w:hanging="360"/>
      </w:pPr>
      <w:rPr>
        <w:rFonts w:ascii="Arial" w:hAnsi="Arial" w:hint="default"/>
      </w:rPr>
    </w:lvl>
    <w:lvl w:ilvl="7" w:tplc="56AEC2E2" w:tentative="1">
      <w:start w:val="1"/>
      <w:numFmt w:val="bullet"/>
      <w:lvlText w:val="•"/>
      <w:lvlJc w:val="left"/>
      <w:pPr>
        <w:tabs>
          <w:tab w:val="num" w:pos="5760"/>
        </w:tabs>
        <w:ind w:left="5760" w:hanging="360"/>
      </w:pPr>
      <w:rPr>
        <w:rFonts w:ascii="Arial" w:hAnsi="Arial" w:hint="default"/>
      </w:rPr>
    </w:lvl>
    <w:lvl w:ilvl="8" w:tplc="D43CB0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1C309E"/>
    <w:multiLevelType w:val="hybridMultilevel"/>
    <w:tmpl w:val="BCFA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B5620"/>
    <w:multiLevelType w:val="hybridMultilevel"/>
    <w:tmpl w:val="AFEE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24AB9"/>
    <w:multiLevelType w:val="hybridMultilevel"/>
    <w:tmpl w:val="D79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B4F04"/>
    <w:multiLevelType w:val="hybridMultilevel"/>
    <w:tmpl w:val="45A67B0C"/>
    <w:lvl w:ilvl="0" w:tplc="F5D6D45E">
      <w:start w:val="1"/>
      <w:numFmt w:val="bullet"/>
      <w:lvlText w:val="•"/>
      <w:lvlJc w:val="left"/>
      <w:pPr>
        <w:tabs>
          <w:tab w:val="num" w:pos="720"/>
        </w:tabs>
        <w:ind w:left="720" w:hanging="360"/>
      </w:pPr>
      <w:rPr>
        <w:rFonts w:ascii="Arial" w:hAnsi="Arial" w:hint="default"/>
      </w:rPr>
    </w:lvl>
    <w:lvl w:ilvl="1" w:tplc="BE92966E" w:tentative="1">
      <w:start w:val="1"/>
      <w:numFmt w:val="bullet"/>
      <w:lvlText w:val="•"/>
      <w:lvlJc w:val="left"/>
      <w:pPr>
        <w:tabs>
          <w:tab w:val="num" w:pos="1440"/>
        </w:tabs>
        <w:ind w:left="1440" w:hanging="360"/>
      </w:pPr>
      <w:rPr>
        <w:rFonts w:ascii="Arial" w:hAnsi="Arial" w:hint="default"/>
      </w:rPr>
    </w:lvl>
    <w:lvl w:ilvl="2" w:tplc="5E705424" w:tentative="1">
      <w:start w:val="1"/>
      <w:numFmt w:val="bullet"/>
      <w:lvlText w:val="•"/>
      <w:lvlJc w:val="left"/>
      <w:pPr>
        <w:tabs>
          <w:tab w:val="num" w:pos="2160"/>
        </w:tabs>
        <w:ind w:left="2160" w:hanging="360"/>
      </w:pPr>
      <w:rPr>
        <w:rFonts w:ascii="Arial" w:hAnsi="Arial" w:hint="default"/>
      </w:rPr>
    </w:lvl>
    <w:lvl w:ilvl="3" w:tplc="821855EC" w:tentative="1">
      <w:start w:val="1"/>
      <w:numFmt w:val="bullet"/>
      <w:lvlText w:val="•"/>
      <w:lvlJc w:val="left"/>
      <w:pPr>
        <w:tabs>
          <w:tab w:val="num" w:pos="2880"/>
        </w:tabs>
        <w:ind w:left="2880" w:hanging="360"/>
      </w:pPr>
      <w:rPr>
        <w:rFonts w:ascii="Arial" w:hAnsi="Arial" w:hint="default"/>
      </w:rPr>
    </w:lvl>
    <w:lvl w:ilvl="4" w:tplc="C582BB2C" w:tentative="1">
      <w:start w:val="1"/>
      <w:numFmt w:val="bullet"/>
      <w:lvlText w:val="•"/>
      <w:lvlJc w:val="left"/>
      <w:pPr>
        <w:tabs>
          <w:tab w:val="num" w:pos="3600"/>
        </w:tabs>
        <w:ind w:left="3600" w:hanging="360"/>
      </w:pPr>
      <w:rPr>
        <w:rFonts w:ascii="Arial" w:hAnsi="Arial" w:hint="default"/>
      </w:rPr>
    </w:lvl>
    <w:lvl w:ilvl="5" w:tplc="0B16AA56" w:tentative="1">
      <w:start w:val="1"/>
      <w:numFmt w:val="bullet"/>
      <w:lvlText w:val="•"/>
      <w:lvlJc w:val="left"/>
      <w:pPr>
        <w:tabs>
          <w:tab w:val="num" w:pos="4320"/>
        </w:tabs>
        <w:ind w:left="4320" w:hanging="360"/>
      </w:pPr>
      <w:rPr>
        <w:rFonts w:ascii="Arial" w:hAnsi="Arial" w:hint="default"/>
      </w:rPr>
    </w:lvl>
    <w:lvl w:ilvl="6" w:tplc="1C624AE4" w:tentative="1">
      <w:start w:val="1"/>
      <w:numFmt w:val="bullet"/>
      <w:lvlText w:val="•"/>
      <w:lvlJc w:val="left"/>
      <w:pPr>
        <w:tabs>
          <w:tab w:val="num" w:pos="5040"/>
        </w:tabs>
        <w:ind w:left="5040" w:hanging="360"/>
      </w:pPr>
      <w:rPr>
        <w:rFonts w:ascii="Arial" w:hAnsi="Arial" w:hint="default"/>
      </w:rPr>
    </w:lvl>
    <w:lvl w:ilvl="7" w:tplc="75F8320C" w:tentative="1">
      <w:start w:val="1"/>
      <w:numFmt w:val="bullet"/>
      <w:lvlText w:val="•"/>
      <w:lvlJc w:val="left"/>
      <w:pPr>
        <w:tabs>
          <w:tab w:val="num" w:pos="5760"/>
        </w:tabs>
        <w:ind w:left="5760" w:hanging="360"/>
      </w:pPr>
      <w:rPr>
        <w:rFonts w:ascii="Arial" w:hAnsi="Arial" w:hint="default"/>
      </w:rPr>
    </w:lvl>
    <w:lvl w:ilvl="8" w:tplc="6EF08F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82209"/>
    <w:multiLevelType w:val="hybridMultilevel"/>
    <w:tmpl w:val="F16420A4"/>
    <w:lvl w:ilvl="0" w:tplc="B2D8BDB8">
      <w:start w:val="1"/>
      <w:numFmt w:val="bullet"/>
      <w:lvlText w:val="•"/>
      <w:lvlJc w:val="left"/>
      <w:pPr>
        <w:tabs>
          <w:tab w:val="num" w:pos="720"/>
        </w:tabs>
        <w:ind w:left="720" w:hanging="360"/>
      </w:pPr>
      <w:rPr>
        <w:rFonts w:ascii="Arial" w:hAnsi="Arial" w:hint="default"/>
      </w:rPr>
    </w:lvl>
    <w:lvl w:ilvl="1" w:tplc="E95642EE">
      <w:start w:val="1"/>
      <w:numFmt w:val="bullet"/>
      <w:lvlText w:val="•"/>
      <w:lvlJc w:val="left"/>
      <w:pPr>
        <w:tabs>
          <w:tab w:val="num" w:pos="1440"/>
        </w:tabs>
        <w:ind w:left="1440" w:hanging="360"/>
      </w:pPr>
      <w:rPr>
        <w:rFonts w:ascii="Arial" w:hAnsi="Arial" w:hint="default"/>
      </w:rPr>
    </w:lvl>
    <w:lvl w:ilvl="2" w:tplc="FE9AE172" w:tentative="1">
      <w:start w:val="1"/>
      <w:numFmt w:val="bullet"/>
      <w:lvlText w:val="•"/>
      <w:lvlJc w:val="left"/>
      <w:pPr>
        <w:tabs>
          <w:tab w:val="num" w:pos="2160"/>
        </w:tabs>
        <w:ind w:left="2160" w:hanging="360"/>
      </w:pPr>
      <w:rPr>
        <w:rFonts w:ascii="Arial" w:hAnsi="Arial" w:hint="default"/>
      </w:rPr>
    </w:lvl>
    <w:lvl w:ilvl="3" w:tplc="8FF07098" w:tentative="1">
      <w:start w:val="1"/>
      <w:numFmt w:val="bullet"/>
      <w:lvlText w:val="•"/>
      <w:lvlJc w:val="left"/>
      <w:pPr>
        <w:tabs>
          <w:tab w:val="num" w:pos="2880"/>
        </w:tabs>
        <w:ind w:left="2880" w:hanging="360"/>
      </w:pPr>
      <w:rPr>
        <w:rFonts w:ascii="Arial" w:hAnsi="Arial" w:hint="default"/>
      </w:rPr>
    </w:lvl>
    <w:lvl w:ilvl="4" w:tplc="F2A6771C" w:tentative="1">
      <w:start w:val="1"/>
      <w:numFmt w:val="bullet"/>
      <w:lvlText w:val="•"/>
      <w:lvlJc w:val="left"/>
      <w:pPr>
        <w:tabs>
          <w:tab w:val="num" w:pos="3600"/>
        </w:tabs>
        <w:ind w:left="3600" w:hanging="360"/>
      </w:pPr>
      <w:rPr>
        <w:rFonts w:ascii="Arial" w:hAnsi="Arial" w:hint="default"/>
      </w:rPr>
    </w:lvl>
    <w:lvl w:ilvl="5" w:tplc="F682931C" w:tentative="1">
      <w:start w:val="1"/>
      <w:numFmt w:val="bullet"/>
      <w:lvlText w:val="•"/>
      <w:lvlJc w:val="left"/>
      <w:pPr>
        <w:tabs>
          <w:tab w:val="num" w:pos="4320"/>
        </w:tabs>
        <w:ind w:left="4320" w:hanging="360"/>
      </w:pPr>
      <w:rPr>
        <w:rFonts w:ascii="Arial" w:hAnsi="Arial" w:hint="default"/>
      </w:rPr>
    </w:lvl>
    <w:lvl w:ilvl="6" w:tplc="270E9AB8" w:tentative="1">
      <w:start w:val="1"/>
      <w:numFmt w:val="bullet"/>
      <w:lvlText w:val="•"/>
      <w:lvlJc w:val="left"/>
      <w:pPr>
        <w:tabs>
          <w:tab w:val="num" w:pos="5040"/>
        </w:tabs>
        <w:ind w:left="5040" w:hanging="360"/>
      </w:pPr>
      <w:rPr>
        <w:rFonts w:ascii="Arial" w:hAnsi="Arial" w:hint="default"/>
      </w:rPr>
    </w:lvl>
    <w:lvl w:ilvl="7" w:tplc="358213CC" w:tentative="1">
      <w:start w:val="1"/>
      <w:numFmt w:val="bullet"/>
      <w:lvlText w:val="•"/>
      <w:lvlJc w:val="left"/>
      <w:pPr>
        <w:tabs>
          <w:tab w:val="num" w:pos="5760"/>
        </w:tabs>
        <w:ind w:left="5760" w:hanging="360"/>
      </w:pPr>
      <w:rPr>
        <w:rFonts w:ascii="Arial" w:hAnsi="Arial" w:hint="default"/>
      </w:rPr>
    </w:lvl>
    <w:lvl w:ilvl="8" w:tplc="BE322C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FE6FE7"/>
    <w:multiLevelType w:val="hybridMultilevel"/>
    <w:tmpl w:val="8636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A1186"/>
    <w:multiLevelType w:val="hybridMultilevel"/>
    <w:tmpl w:val="0074B666"/>
    <w:lvl w:ilvl="0" w:tplc="020A7970">
      <w:start w:val="1"/>
      <w:numFmt w:val="bullet"/>
      <w:lvlText w:val="•"/>
      <w:lvlJc w:val="left"/>
      <w:pPr>
        <w:tabs>
          <w:tab w:val="num" w:pos="720"/>
        </w:tabs>
        <w:ind w:left="720" w:hanging="360"/>
      </w:pPr>
      <w:rPr>
        <w:rFonts w:ascii="Arial" w:hAnsi="Arial" w:hint="default"/>
      </w:rPr>
    </w:lvl>
    <w:lvl w:ilvl="1" w:tplc="3A9C057C" w:tentative="1">
      <w:start w:val="1"/>
      <w:numFmt w:val="bullet"/>
      <w:lvlText w:val="•"/>
      <w:lvlJc w:val="left"/>
      <w:pPr>
        <w:tabs>
          <w:tab w:val="num" w:pos="1440"/>
        </w:tabs>
        <w:ind w:left="1440" w:hanging="360"/>
      </w:pPr>
      <w:rPr>
        <w:rFonts w:ascii="Arial" w:hAnsi="Arial" w:hint="default"/>
      </w:rPr>
    </w:lvl>
    <w:lvl w:ilvl="2" w:tplc="BCB61476">
      <w:start w:val="1"/>
      <w:numFmt w:val="bullet"/>
      <w:lvlText w:val="•"/>
      <w:lvlJc w:val="left"/>
      <w:pPr>
        <w:tabs>
          <w:tab w:val="num" w:pos="2160"/>
        </w:tabs>
        <w:ind w:left="2160" w:hanging="360"/>
      </w:pPr>
      <w:rPr>
        <w:rFonts w:ascii="Arial" w:hAnsi="Arial" w:hint="default"/>
      </w:rPr>
    </w:lvl>
    <w:lvl w:ilvl="3" w:tplc="7B609D2C" w:tentative="1">
      <w:start w:val="1"/>
      <w:numFmt w:val="bullet"/>
      <w:lvlText w:val="•"/>
      <w:lvlJc w:val="left"/>
      <w:pPr>
        <w:tabs>
          <w:tab w:val="num" w:pos="2880"/>
        </w:tabs>
        <w:ind w:left="2880" w:hanging="360"/>
      </w:pPr>
      <w:rPr>
        <w:rFonts w:ascii="Arial" w:hAnsi="Arial" w:hint="default"/>
      </w:rPr>
    </w:lvl>
    <w:lvl w:ilvl="4" w:tplc="425047C4" w:tentative="1">
      <w:start w:val="1"/>
      <w:numFmt w:val="bullet"/>
      <w:lvlText w:val="•"/>
      <w:lvlJc w:val="left"/>
      <w:pPr>
        <w:tabs>
          <w:tab w:val="num" w:pos="3600"/>
        </w:tabs>
        <w:ind w:left="3600" w:hanging="360"/>
      </w:pPr>
      <w:rPr>
        <w:rFonts w:ascii="Arial" w:hAnsi="Arial" w:hint="default"/>
      </w:rPr>
    </w:lvl>
    <w:lvl w:ilvl="5" w:tplc="AB6240EA" w:tentative="1">
      <w:start w:val="1"/>
      <w:numFmt w:val="bullet"/>
      <w:lvlText w:val="•"/>
      <w:lvlJc w:val="left"/>
      <w:pPr>
        <w:tabs>
          <w:tab w:val="num" w:pos="4320"/>
        </w:tabs>
        <w:ind w:left="4320" w:hanging="360"/>
      </w:pPr>
      <w:rPr>
        <w:rFonts w:ascii="Arial" w:hAnsi="Arial" w:hint="default"/>
      </w:rPr>
    </w:lvl>
    <w:lvl w:ilvl="6" w:tplc="A91E781E" w:tentative="1">
      <w:start w:val="1"/>
      <w:numFmt w:val="bullet"/>
      <w:lvlText w:val="•"/>
      <w:lvlJc w:val="left"/>
      <w:pPr>
        <w:tabs>
          <w:tab w:val="num" w:pos="5040"/>
        </w:tabs>
        <w:ind w:left="5040" w:hanging="360"/>
      </w:pPr>
      <w:rPr>
        <w:rFonts w:ascii="Arial" w:hAnsi="Arial" w:hint="default"/>
      </w:rPr>
    </w:lvl>
    <w:lvl w:ilvl="7" w:tplc="98CA10E0" w:tentative="1">
      <w:start w:val="1"/>
      <w:numFmt w:val="bullet"/>
      <w:lvlText w:val="•"/>
      <w:lvlJc w:val="left"/>
      <w:pPr>
        <w:tabs>
          <w:tab w:val="num" w:pos="5760"/>
        </w:tabs>
        <w:ind w:left="5760" w:hanging="360"/>
      </w:pPr>
      <w:rPr>
        <w:rFonts w:ascii="Arial" w:hAnsi="Arial" w:hint="default"/>
      </w:rPr>
    </w:lvl>
    <w:lvl w:ilvl="8" w:tplc="A18E44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C00CC8"/>
    <w:multiLevelType w:val="hybridMultilevel"/>
    <w:tmpl w:val="1B24A3D2"/>
    <w:lvl w:ilvl="0" w:tplc="2538179C">
      <w:start w:val="1"/>
      <w:numFmt w:val="bullet"/>
      <w:lvlText w:val="•"/>
      <w:lvlJc w:val="left"/>
      <w:pPr>
        <w:tabs>
          <w:tab w:val="num" w:pos="720"/>
        </w:tabs>
        <w:ind w:left="720" w:hanging="360"/>
      </w:pPr>
      <w:rPr>
        <w:rFonts w:ascii="Arial" w:hAnsi="Arial" w:hint="default"/>
      </w:rPr>
    </w:lvl>
    <w:lvl w:ilvl="1" w:tplc="14DEEAC0">
      <w:start w:val="1"/>
      <w:numFmt w:val="bullet"/>
      <w:lvlText w:val="•"/>
      <w:lvlJc w:val="left"/>
      <w:pPr>
        <w:tabs>
          <w:tab w:val="num" w:pos="1440"/>
        </w:tabs>
        <w:ind w:left="1440" w:hanging="360"/>
      </w:pPr>
      <w:rPr>
        <w:rFonts w:ascii="Arial" w:hAnsi="Arial" w:hint="default"/>
      </w:rPr>
    </w:lvl>
    <w:lvl w:ilvl="2" w:tplc="806C1E7C" w:tentative="1">
      <w:start w:val="1"/>
      <w:numFmt w:val="bullet"/>
      <w:lvlText w:val="•"/>
      <w:lvlJc w:val="left"/>
      <w:pPr>
        <w:tabs>
          <w:tab w:val="num" w:pos="2160"/>
        </w:tabs>
        <w:ind w:left="2160" w:hanging="360"/>
      </w:pPr>
      <w:rPr>
        <w:rFonts w:ascii="Arial" w:hAnsi="Arial" w:hint="default"/>
      </w:rPr>
    </w:lvl>
    <w:lvl w:ilvl="3" w:tplc="EC0C1550" w:tentative="1">
      <w:start w:val="1"/>
      <w:numFmt w:val="bullet"/>
      <w:lvlText w:val="•"/>
      <w:lvlJc w:val="left"/>
      <w:pPr>
        <w:tabs>
          <w:tab w:val="num" w:pos="2880"/>
        </w:tabs>
        <w:ind w:left="2880" w:hanging="360"/>
      </w:pPr>
      <w:rPr>
        <w:rFonts w:ascii="Arial" w:hAnsi="Arial" w:hint="default"/>
      </w:rPr>
    </w:lvl>
    <w:lvl w:ilvl="4" w:tplc="FAEE070A" w:tentative="1">
      <w:start w:val="1"/>
      <w:numFmt w:val="bullet"/>
      <w:lvlText w:val="•"/>
      <w:lvlJc w:val="left"/>
      <w:pPr>
        <w:tabs>
          <w:tab w:val="num" w:pos="3600"/>
        </w:tabs>
        <w:ind w:left="3600" w:hanging="360"/>
      </w:pPr>
      <w:rPr>
        <w:rFonts w:ascii="Arial" w:hAnsi="Arial" w:hint="default"/>
      </w:rPr>
    </w:lvl>
    <w:lvl w:ilvl="5" w:tplc="4664D412" w:tentative="1">
      <w:start w:val="1"/>
      <w:numFmt w:val="bullet"/>
      <w:lvlText w:val="•"/>
      <w:lvlJc w:val="left"/>
      <w:pPr>
        <w:tabs>
          <w:tab w:val="num" w:pos="4320"/>
        </w:tabs>
        <w:ind w:left="4320" w:hanging="360"/>
      </w:pPr>
      <w:rPr>
        <w:rFonts w:ascii="Arial" w:hAnsi="Arial" w:hint="default"/>
      </w:rPr>
    </w:lvl>
    <w:lvl w:ilvl="6" w:tplc="52B67538" w:tentative="1">
      <w:start w:val="1"/>
      <w:numFmt w:val="bullet"/>
      <w:lvlText w:val="•"/>
      <w:lvlJc w:val="left"/>
      <w:pPr>
        <w:tabs>
          <w:tab w:val="num" w:pos="5040"/>
        </w:tabs>
        <w:ind w:left="5040" w:hanging="360"/>
      </w:pPr>
      <w:rPr>
        <w:rFonts w:ascii="Arial" w:hAnsi="Arial" w:hint="default"/>
      </w:rPr>
    </w:lvl>
    <w:lvl w:ilvl="7" w:tplc="4F5CEAB0" w:tentative="1">
      <w:start w:val="1"/>
      <w:numFmt w:val="bullet"/>
      <w:lvlText w:val="•"/>
      <w:lvlJc w:val="left"/>
      <w:pPr>
        <w:tabs>
          <w:tab w:val="num" w:pos="5760"/>
        </w:tabs>
        <w:ind w:left="5760" w:hanging="360"/>
      </w:pPr>
      <w:rPr>
        <w:rFonts w:ascii="Arial" w:hAnsi="Arial" w:hint="default"/>
      </w:rPr>
    </w:lvl>
    <w:lvl w:ilvl="8" w:tplc="ED3A5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9B0FF3"/>
    <w:multiLevelType w:val="hybridMultilevel"/>
    <w:tmpl w:val="4066D3A0"/>
    <w:lvl w:ilvl="0" w:tplc="3A6EFF64">
      <w:start w:val="1"/>
      <w:numFmt w:val="bullet"/>
      <w:lvlText w:val="•"/>
      <w:lvlJc w:val="left"/>
      <w:pPr>
        <w:tabs>
          <w:tab w:val="num" w:pos="720"/>
        </w:tabs>
        <w:ind w:left="720" w:hanging="360"/>
      </w:pPr>
      <w:rPr>
        <w:rFonts w:ascii="Arial" w:hAnsi="Arial" w:hint="default"/>
      </w:rPr>
    </w:lvl>
    <w:lvl w:ilvl="1" w:tplc="58F88D8A">
      <w:start w:val="1"/>
      <w:numFmt w:val="bullet"/>
      <w:lvlText w:val="•"/>
      <w:lvlJc w:val="left"/>
      <w:pPr>
        <w:tabs>
          <w:tab w:val="num" w:pos="1440"/>
        </w:tabs>
        <w:ind w:left="1440" w:hanging="360"/>
      </w:pPr>
      <w:rPr>
        <w:rFonts w:ascii="Arial" w:hAnsi="Arial" w:hint="default"/>
      </w:rPr>
    </w:lvl>
    <w:lvl w:ilvl="2" w:tplc="534AD7C4" w:tentative="1">
      <w:start w:val="1"/>
      <w:numFmt w:val="bullet"/>
      <w:lvlText w:val="•"/>
      <w:lvlJc w:val="left"/>
      <w:pPr>
        <w:tabs>
          <w:tab w:val="num" w:pos="2160"/>
        </w:tabs>
        <w:ind w:left="2160" w:hanging="360"/>
      </w:pPr>
      <w:rPr>
        <w:rFonts w:ascii="Arial" w:hAnsi="Arial" w:hint="default"/>
      </w:rPr>
    </w:lvl>
    <w:lvl w:ilvl="3" w:tplc="3CD06A42" w:tentative="1">
      <w:start w:val="1"/>
      <w:numFmt w:val="bullet"/>
      <w:lvlText w:val="•"/>
      <w:lvlJc w:val="left"/>
      <w:pPr>
        <w:tabs>
          <w:tab w:val="num" w:pos="2880"/>
        </w:tabs>
        <w:ind w:left="2880" w:hanging="360"/>
      </w:pPr>
      <w:rPr>
        <w:rFonts w:ascii="Arial" w:hAnsi="Arial" w:hint="default"/>
      </w:rPr>
    </w:lvl>
    <w:lvl w:ilvl="4" w:tplc="CA06DEE8" w:tentative="1">
      <w:start w:val="1"/>
      <w:numFmt w:val="bullet"/>
      <w:lvlText w:val="•"/>
      <w:lvlJc w:val="left"/>
      <w:pPr>
        <w:tabs>
          <w:tab w:val="num" w:pos="3600"/>
        </w:tabs>
        <w:ind w:left="3600" w:hanging="360"/>
      </w:pPr>
      <w:rPr>
        <w:rFonts w:ascii="Arial" w:hAnsi="Arial" w:hint="default"/>
      </w:rPr>
    </w:lvl>
    <w:lvl w:ilvl="5" w:tplc="EC0042C8" w:tentative="1">
      <w:start w:val="1"/>
      <w:numFmt w:val="bullet"/>
      <w:lvlText w:val="•"/>
      <w:lvlJc w:val="left"/>
      <w:pPr>
        <w:tabs>
          <w:tab w:val="num" w:pos="4320"/>
        </w:tabs>
        <w:ind w:left="4320" w:hanging="360"/>
      </w:pPr>
      <w:rPr>
        <w:rFonts w:ascii="Arial" w:hAnsi="Arial" w:hint="default"/>
      </w:rPr>
    </w:lvl>
    <w:lvl w:ilvl="6" w:tplc="636224DE" w:tentative="1">
      <w:start w:val="1"/>
      <w:numFmt w:val="bullet"/>
      <w:lvlText w:val="•"/>
      <w:lvlJc w:val="left"/>
      <w:pPr>
        <w:tabs>
          <w:tab w:val="num" w:pos="5040"/>
        </w:tabs>
        <w:ind w:left="5040" w:hanging="360"/>
      </w:pPr>
      <w:rPr>
        <w:rFonts w:ascii="Arial" w:hAnsi="Arial" w:hint="default"/>
      </w:rPr>
    </w:lvl>
    <w:lvl w:ilvl="7" w:tplc="BE5A373E" w:tentative="1">
      <w:start w:val="1"/>
      <w:numFmt w:val="bullet"/>
      <w:lvlText w:val="•"/>
      <w:lvlJc w:val="left"/>
      <w:pPr>
        <w:tabs>
          <w:tab w:val="num" w:pos="5760"/>
        </w:tabs>
        <w:ind w:left="5760" w:hanging="360"/>
      </w:pPr>
      <w:rPr>
        <w:rFonts w:ascii="Arial" w:hAnsi="Arial" w:hint="default"/>
      </w:rPr>
    </w:lvl>
    <w:lvl w:ilvl="8" w:tplc="A432AF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FB1ED6"/>
    <w:multiLevelType w:val="hybridMultilevel"/>
    <w:tmpl w:val="6C72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16E94"/>
    <w:multiLevelType w:val="hybridMultilevel"/>
    <w:tmpl w:val="EDE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E21"/>
    <w:multiLevelType w:val="hybridMultilevel"/>
    <w:tmpl w:val="05D2B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D618D"/>
    <w:multiLevelType w:val="hybridMultilevel"/>
    <w:tmpl w:val="57442418"/>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05C56"/>
    <w:multiLevelType w:val="hybridMultilevel"/>
    <w:tmpl w:val="90EAF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80284"/>
    <w:multiLevelType w:val="hybridMultilevel"/>
    <w:tmpl w:val="424EF836"/>
    <w:lvl w:ilvl="0" w:tplc="CB0E6224">
      <w:start w:val="1"/>
      <w:numFmt w:val="bullet"/>
      <w:lvlText w:val="•"/>
      <w:lvlJc w:val="left"/>
      <w:pPr>
        <w:tabs>
          <w:tab w:val="num" w:pos="720"/>
        </w:tabs>
        <w:ind w:left="720" w:hanging="360"/>
      </w:pPr>
      <w:rPr>
        <w:rFonts w:ascii="Arial" w:hAnsi="Arial" w:hint="default"/>
      </w:rPr>
    </w:lvl>
    <w:lvl w:ilvl="1" w:tplc="58D2E11A" w:tentative="1">
      <w:start w:val="1"/>
      <w:numFmt w:val="bullet"/>
      <w:lvlText w:val="•"/>
      <w:lvlJc w:val="left"/>
      <w:pPr>
        <w:tabs>
          <w:tab w:val="num" w:pos="1440"/>
        </w:tabs>
        <w:ind w:left="1440" w:hanging="360"/>
      </w:pPr>
      <w:rPr>
        <w:rFonts w:ascii="Arial" w:hAnsi="Arial" w:hint="default"/>
      </w:rPr>
    </w:lvl>
    <w:lvl w:ilvl="2" w:tplc="45FAE7D4" w:tentative="1">
      <w:start w:val="1"/>
      <w:numFmt w:val="bullet"/>
      <w:lvlText w:val="•"/>
      <w:lvlJc w:val="left"/>
      <w:pPr>
        <w:tabs>
          <w:tab w:val="num" w:pos="2160"/>
        </w:tabs>
        <w:ind w:left="2160" w:hanging="360"/>
      </w:pPr>
      <w:rPr>
        <w:rFonts w:ascii="Arial" w:hAnsi="Arial" w:hint="default"/>
      </w:rPr>
    </w:lvl>
    <w:lvl w:ilvl="3" w:tplc="5B6479E0" w:tentative="1">
      <w:start w:val="1"/>
      <w:numFmt w:val="bullet"/>
      <w:lvlText w:val="•"/>
      <w:lvlJc w:val="left"/>
      <w:pPr>
        <w:tabs>
          <w:tab w:val="num" w:pos="2880"/>
        </w:tabs>
        <w:ind w:left="2880" w:hanging="360"/>
      </w:pPr>
      <w:rPr>
        <w:rFonts w:ascii="Arial" w:hAnsi="Arial" w:hint="default"/>
      </w:rPr>
    </w:lvl>
    <w:lvl w:ilvl="4" w:tplc="0D40D180" w:tentative="1">
      <w:start w:val="1"/>
      <w:numFmt w:val="bullet"/>
      <w:lvlText w:val="•"/>
      <w:lvlJc w:val="left"/>
      <w:pPr>
        <w:tabs>
          <w:tab w:val="num" w:pos="3600"/>
        </w:tabs>
        <w:ind w:left="3600" w:hanging="360"/>
      </w:pPr>
      <w:rPr>
        <w:rFonts w:ascii="Arial" w:hAnsi="Arial" w:hint="default"/>
      </w:rPr>
    </w:lvl>
    <w:lvl w:ilvl="5" w:tplc="9CEA31FE" w:tentative="1">
      <w:start w:val="1"/>
      <w:numFmt w:val="bullet"/>
      <w:lvlText w:val="•"/>
      <w:lvlJc w:val="left"/>
      <w:pPr>
        <w:tabs>
          <w:tab w:val="num" w:pos="4320"/>
        </w:tabs>
        <w:ind w:left="4320" w:hanging="360"/>
      </w:pPr>
      <w:rPr>
        <w:rFonts w:ascii="Arial" w:hAnsi="Arial" w:hint="default"/>
      </w:rPr>
    </w:lvl>
    <w:lvl w:ilvl="6" w:tplc="3814A09C" w:tentative="1">
      <w:start w:val="1"/>
      <w:numFmt w:val="bullet"/>
      <w:lvlText w:val="•"/>
      <w:lvlJc w:val="left"/>
      <w:pPr>
        <w:tabs>
          <w:tab w:val="num" w:pos="5040"/>
        </w:tabs>
        <w:ind w:left="5040" w:hanging="360"/>
      </w:pPr>
      <w:rPr>
        <w:rFonts w:ascii="Arial" w:hAnsi="Arial" w:hint="default"/>
      </w:rPr>
    </w:lvl>
    <w:lvl w:ilvl="7" w:tplc="098C92AC" w:tentative="1">
      <w:start w:val="1"/>
      <w:numFmt w:val="bullet"/>
      <w:lvlText w:val="•"/>
      <w:lvlJc w:val="left"/>
      <w:pPr>
        <w:tabs>
          <w:tab w:val="num" w:pos="5760"/>
        </w:tabs>
        <w:ind w:left="5760" w:hanging="360"/>
      </w:pPr>
      <w:rPr>
        <w:rFonts w:ascii="Arial" w:hAnsi="Arial" w:hint="default"/>
      </w:rPr>
    </w:lvl>
    <w:lvl w:ilvl="8" w:tplc="73A4C0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B61957"/>
    <w:multiLevelType w:val="hybridMultilevel"/>
    <w:tmpl w:val="7AC443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35E7E"/>
    <w:multiLevelType w:val="hybridMultilevel"/>
    <w:tmpl w:val="7FA447F2"/>
    <w:lvl w:ilvl="0" w:tplc="7E481C5C">
      <w:start w:val="1"/>
      <w:numFmt w:val="bullet"/>
      <w:lvlText w:val="•"/>
      <w:lvlJc w:val="left"/>
      <w:pPr>
        <w:tabs>
          <w:tab w:val="num" w:pos="720"/>
        </w:tabs>
        <w:ind w:left="720" w:hanging="360"/>
      </w:pPr>
      <w:rPr>
        <w:rFonts w:ascii="Arial" w:hAnsi="Arial" w:hint="default"/>
      </w:rPr>
    </w:lvl>
    <w:lvl w:ilvl="1" w:tplc="35847DDA" w:tentative="1">
      <w:start w:val="1"/>
      <w:numFmt w:val="bullet"/>
      <w:lvlText w:val="•"/>
      <w:lvlJc w:val="left"/>
      <w:pPr>
        <w:tabs>
          <w:tab w:val="num" w:pos="1440"/>
        </w:tabs>
        <w:ind w:left="1440" w:hanging="360"/>
      </w:pPr>
      <w:rPr>
        <w:rFonts w:ascii="Arial" w:hAnsi="Arial" w:hint="default"/>
      </w:rPr>
    </w:lvl>
    <w:lvl w:ilvl="2" w:tplc="B5DC3D1A" w:tentative="1">
      <w:start w:val="1"/>
      <w:numFmt w:val="bullet"/>
      <w:lvlText w:val="•"/>
      <w:lvlJc w:val="left"/>
      <w:pPr>
        <w:tabs>
          <w:tab w:val="num" w:pos="2160"/>
        </w:tabs>
        <w:ind w:left="2160" w:hanging="360"/>
      </w:pPr>
      <w:rPr>
        <w:rFonts w:ascii="Arial" w:hAnsi="Arial" w:hint="default"/>
      </w:rPr>
    </w:lvl>
    <w:lvl w:ilvl="3" w:tplc="85FA313A" w:tentative="1">
      <w:start w:val="1"/>
      <w:numFmt w:val="bullet"/>
      <w:lvlText w:val="•"/>
      <w:lvlJc w:val="left"/>
      <w:pPr>
        <w:tabs>
          <w:tab w:val="num" w:pos="2880"/>
        </w:tabs>
        <w:ind w:left="2880" w:hanging="360"/>
      </w:pPr>
      <w:rPr>
        <w:rFonts w:ascii="Arial" w:hAnsi="Arial" w:hint="default"/>
      </w:rPr>
    </w:lvl>
    <w:lvl w:ilvl="4" w:tplc="DA5ECC4A" w:tentative="1">
      <w:start w:val="1"/>
      <w:numFmt w:val="bullet"/>
      <w:lvlText w:val="•"/>
      <w:lvlJc w:val="left"/>
      <w:pPr>
        <w:tabs>
          <w:tab w:val="num" w:pos="3600"/>
        </w:tabs>
        <w:ind w:left="3600" w:hanging="360"/>
      </w:pPr>
      <w:rPr>
        <w:rFonts w:ascii="Arial" w:hAnsi="Arial" w:hint="default"/>
      </w:rPr>
    </w:lvl>
    <w:lvl w:ilvl="5" w:tplc="D974F2CE" w:tentative="1">
      <w:start w:val="1"/>
      <w:numFmt w:val="bullet"/>
      <w:lvlText w:val="•"/>
      <w:lvlJc w:val="left"/>
      <w:pPr>
        <w:tabs>
          <w:tab w:val="num" w:pos="4320"/>
        </w:tabs>
        <w:ind w:left="4320" w:hanging="360"/>
      </w:pPr>
      <w:rPr>
        <w:rFonts w:ascii="Arial" w:hAnsi="Arial" w:hint="default"/>
      </w:rPr>
    </w:lvl>
    <w:lvl w:ilvl="6" w:tplc="7FCAFC5E" w:tentative="1">
      <w:start w:val="1"/>
      <w:numFmt w:val="bullet"/>
      <w:lvlText w:val="•"/>
      <w:lvlJc w:val="left"/>
      <w:pPr>
        <w:tabs>
          <w:tab w:val="num" w:pos="5040"/>
        </w:tabs>
        <w:ind w:left="5040" w:hanging="360"/>
      </w:pPr>
      <w:rPr>
        <w:rFonts w:ascii="Arial" w:hAnsi="Arial" w:hint="default"/>
      </w:rPr>
    </w:lvl>
    <w:lvl w:ilvl="7" w:tplc="57A01502" w:tentative="1">
      <w:start w:val="1"/>
      <w:numFmt w:val="bullet"/>
      <w:lvlText w:val="•"/>
      <w:lvlJc w:val="left"/>
      <w:pPr>
        <w:tabs>
          <w:tab w:val="num" w:pos="5760"/>
        </w:tabs>
        <w:ind w:left="5760" w:hanging="360"/>
      </w:pPr>
      <w:rPr>
        <w:rFonts w:ascii="Arial" w:hAnsi="Arial" w:hint="default"/>
      </w:rPr>
    </w:lvl>
    <w:lvl w:ilvl="8" w:tplc="466E49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8A4F03"/>
    <w:multiLevelType w:val="hybridMultilevel"/>
    <w:tmpl w:val="C1B49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7F0249"/>
    <w:multiLevelType w:val="hybridMultilevel"/>
    <w:tmpl w:val="91FAB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632ECC"/>
    <w:multiLevelType w:val="hybridMultilevel"/>
    <w:tmpl w:val="F7704D60"/>
    <w:lvl w:ilvl="0" w:tplc="DBA29656">
      <w:start w:val="1"/>
      <w:numFmt w:val="bullet"/>
      <w:lvlText w:val="•"/>
      <w:lvlJc w:val="left"/>
      <w:pPr>
        <w:tabs>
          <w:tab w:val="num" w:pos="720"/>
        </w:tabs>
        <w:ind w:left="720" w:hanging="360"/>
      </w:pPr>
      <w:rPr>
        <w:rFonts w:ascii="Arial" w:hAnsi="Arial" w:hint="default"/>
      </w:rPr>
    </w:lvl>
    <w:lvl w:ilvl="1" w:tplc="FC4A6BB4">
      <w:start w:val="1"/>
      <w:numFmt w:val="bullet"/>
      <w:lvlText w:val="•"/>
      <w:lvlJc w:val="left"/>
      <w:pPr>
        <w:tabs>
          <w:tab w:val="num" w:pos="1440"/>
        </w:tabs>
        <w:ind w:left="1440" w:hanging="360"/>
      </w:pPr>
      <w:rPr>
        <w:rFonts w:ascii="Arial" w:hAnsi="Arial" w:hint="default"/>
      </w:rPr>
    </w:lvl>
    <w:lvl w:ilvl="2" w:tplc="4640781C" w:tentative="1">
      <w:start w:val="1"/>
      <w:numFmt w:val="bullet"/>
      <w:lvlText w:val="•"/>
      <w:lvlJc w:val="left"/>
      <w:pPr>
        <w:tabs>
          <w:tab w:val="num" w:pos="2160"/>
        </w:tabs>
        <w:ind w:left="2160" w:hanging="360"/>
      </w:pPr>
      <w:rPr>
        <w:rFonts w:ascii="Arial" w:hAnsi="Arial" w:hint="default"/>
      </w:rPr>
    </w:lvl>
    <w:lvl w:ilvl="3" w:tplc="655835A6" w:tentative="1">
      <w:start w:val="1"/>
      <w:numFmt w:val="bullet"/>
      <w:lvlText w:val="•"/>
      <w:lvlJc w:val="left"/>
      <w:pPr>
        <w:tabs>
          <w:tab w:val="num" w:pos="2880"/>
        </w:tabs>
        <w:ind w:left="2880" w:hanging="360"/>
      </w:pPr>
      <w:rPr>
        <w:rFonts w:ascii="Arial" w:hAnsi="Arial" w:hint="default"/>
      </w:rPr>
    </w:lvl>
    <w:lvl w:ilvl="4" w:tplc="A216BCEA" w:tentative="1">
      <w:start w:val="1"/>
      <w:numFmt w:val="bullet"/>
      <w:lvlText w:val="•"/>
      <w:lvlJc w:val="left"/>
      <w:pPr>
        <w:tabs>
          <w:tab w:val="num" w:pos="3600"/>
        </w:tabs>
        <w:ind w:left="3600" w:hanging="360"/>
      </w:pPr>
      <w:rPr>
        <w:rFonts w:ascii="Arial" w:hAnsi="Arial" w:hint="default"/>
      </w:rPr>
    </w:lvl>
    <w:lvl w:ilvl="5" w:tplc="115AEA60" w:tentative="1">
      <w:start w:val="1"/>
      <w:numFmt w:val="bullet"/>
      <w:lvlText w:val="•"/>
      <w:lvlJc w:val="left"/>
      <w:pPr>
        <w:tabs>
          <w:tab w:val="num" w:pos="4320"/>
        </w:tabs>
        <w:ind w:left="4320" w:hanging="360"/>
      </w:pPr>
      <w:rPr>
        <w:rFonts w:ascii="Arial" w:hAnsi="Arial" w:hint="default"/>
      </w:rPr>
    </w:lvl>
    <w:lvl w:ilvl="6" w:tplc="227EBA1C" w:tentative="1">
      <w:start w:val="1"/>
      <w:numFmt w:val="bullet"/>
      <w:lvlText w:val="•"/>
      <w:lvlJc w:val="left"/>
      <w:pPr>
        <w:tabs>
          <w:tab w:val="num" w:pos="5040"/>
        </w:tabs>
        <w:ind w:left="5040" w:hanging="360"/>
      </w:pPr>
      <w:rPr>
        <w:rFonts w:ascii="Arial" w:hAnsi="Arial" w:hint="default"/>
      </w:rPr>
    </w:lvl>
    <w:lvl w:ilvl="7" w:tplc="63A2A8E2" w:tentative="1">
      <w:start w:val="1"/>
      <w:numFmt w:val="bullet"/>
      <w:lvlText w:val="•"/>
      <w:lvlJc w:val="left"/>
      <w:pPr>
        <w:tabs>
          <w:tab w:val="num" w:pos="5760"/>
        </w:tabs>
        <w:ind w:left="5760" w:hanging="360"/>
      </w:pPr>
      <w:rPr>
        <w:rFonts w:ascii="Arial" w:hAnsi="Arial" w:hint="default"/>
      </w:rPr>
    </w:lvl>
    <w:lvl w:ilvl="8" w:tplc="7DF6A6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516584"/>
    <w:multiLevelType w:val="hybridMultilevel"/>
    <w:tmpl w:val="6FFED9BC"/>
    <w:lvl w:ilvl="0" w:tplc="77905E4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09ED11E">
      <w:numFmt w:val="bullet"/>
      <w:lvlText w:val="•"/>
      <w:lvlJc w:val="left"/>
      <w:pPr>
        <w:tabs>
          <w:tab w:val="num" w:pos="2160"/>
        </w:tabs>
        <w:ind w:left="2160" w:hanging="360"/>
      </w:pPr>
      <w:rPr>
        <w:rFonts w:ascii="Arial" w:hAnsi="Arial" w:hint="default"/>
      </w:rPr>
    </w:lvl>
    <w:lvl w:ilvl="3" w:tplc="206C32E4" w:tentative="1">
      <w:start w:val="1"/>
      <w:numFmt w:val="bullet"/>
      <w:lvlText w:val="•"/>
      <w:lvlJc w:val="left"/>
      <w:pPr>
        <w:tabs>
          <w:tab w:val="num" w:pos="2880"/>
        </w:tabs>
        <w:ind w:left="2880" w:hanging="360"/>
      </w:pPr>
      <w:rPr>
        <w:rFonts w:ascii="Arial" w:hAnsi="Arial" w:hint="default"/>
      </w:rPr>
    </w:lvl>
    <w:lvl w:ilvl="4" w:tplc="D07E0940" w:tentative="1">
      <w:start w:val="1"/>
      <w:numFmt w:val="bullet"/>
      <w:lvlText w:val="•"/>
      <w:lvlJc w:val="left"/>
      <w:pPr>
        <w:tabs>
          <w:tab w:val="num" w:pos="3600"/>
        </w:tabs>
        <w:ind w:left="3600" w:hanging="360"/>
      </w:pPr>
      <w:rPr>
        <w:rFonts w:ascii="Arial" w:hAnsi="Arial" w:hint="default"/>
      </w:rPr>
    </w:lvl>
    <w:lvl w:ilvl="5" w:tplc="28384DD0" w:tentative="1">
      <w:start w:val="1"/>
      <w:numFmt w:val="bullet"/>
      <w:lvlText w:val="•"/>
      <w:lvlJc w:val="left"/>
      <w:pPr>
        <w:tabs>
          <w:tab w:val="num" w:pos="4320"/>
        </w:tabs>
        <w:ind w:left="4320" w:hanging="360"/>
      </w:pPr>
      <w:rPr>
        <w:rFonts w:ascii="Arial" w:hAnsi="Arial" w:hint="default"/>
      </w:rPr>
    </w:lvl>
    <w:lvl w:ilvl="6" w:tplc="7D4AF5F4" w:tentative="1">
      <w:start w:val="1"/>
      <w:numFmt w:val="bullet"/>
      <w:lvlText w:val="•"/>
      <w:lvlJc w:val="left"/>
      <w:pPr>
        <w:tabs>
          <w:tab w:val="num" w:pos="5040"/>
        </w:tabs>
        <w:ind w:left="5040" w:hanging="360"/>
      </w:pPr>
      <w:rPr>
        <w:rFonts w:ascii="Arial" w:hAnsi="Arial" w:hint="default"/>
      </w:rPr>
    </w:lvl>
    <w:lvl w:ilvl="7" w:tplc="22D830D6" w:tentative="1">
      <w:start w:val="1"/>
      <w:numFmt w:val="bullet"/>
      <w:lvlText w:val="•"/>
      <w:lvlJc w:val="left"/>
      <w:pPr>
        <w:tabs>
          <w:tab w:val="num" w:pos="5760"/>
        </w:tabs>
        <w:ind w:left="5760" w:hanging="360"/>
      </w:pPr>
      <w:rPr>
        <w:rFonts w:ascii="Arial" w:hAnsi="Arial" w:hint="default"/>
      </w:rPr>
    </w:lvl>
    <w:lvl w:ilvl="8" w:tplc="EAEA9B5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5"/>
  </w:num>
  <w:num w:numId="3">
    <w:abstractNumId w:val="21"/>
  </w:num>
  <w:num w:numId="4">
    <w:abstractNumId w:val="16"/>
  </w:num>
  <w:num w:numId="5">
    <w:abstractNumId w:val="8"/>
  </w:num>
  <w:num w:numId="6">
    <w:abstractNumId w:val="10"/>
  </w:num>
  <w:num w:numId="7">
    <w:abstractNumId w:val="26"/>
  </w:num>
  <w:num w:numId="8">
    <w:abstractNumId w:val="25"/>
  </w:num>
  <w:num w:numId="9">
    <w:abstractNumId w:val="23"/>
  </w:num>
  <w:num w:numId="10">
    <w:abstractNumId w:val="6"/>
  </w:num>
  <w:num w:numId="11">
    <w:abstractNumId w:val="11"/>
  </w:num>
  <w:num w:numId="12">
    <w:abstractNumId w:val="1"/>
  </w:num>
  <w:num w:numId="13">
    <w:abstractNumId w:val="18"/>
  </w:num>
  <w:num w:numId="14">
    <w:abstractNumId w:val="0"/>
  </w:num>
  <w:num w:numId="15">
    <w:abstractNumId w:val="12"/>
  </w:num>
  <w:num w:numId="16">
    <w:abstractNumId w:val="24"/>
  </w:num>
  <w:num w:numId="17">
    <w:abstractNumId w:val="19"/>
  </w:num>
  <w:num w:numId="18">
    <w:abstractNumId w:val="5"/>
  </w:num>
  <w:num w:numId="19">
    <w:abstractNumId w:val="9"/>
  </w:num>
  <w:num w:numId="20">
    <w:abstractNumId w:val="22"/>
  </w:num>
  <w:num w:numId="21">
    <w:abstractNumId w:val="20"/>
  </w:num>
  <w:num w:numId="22">
    <w:abstractNumId w:val="14"/>
  </w:num>
  <w:num w:numId="23">
    <w:abstractNumId w:val="13"/>
  </w:num>
  <w:num w:numId="24">
    <w:abstractNumId w:val="4"/>
  </w:num>
  <w:num w:numId="25">
    <w:abstractNumId w:val="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4D"/>
    <w:rsid w:val="00003002"/>
    <w:rsid w:val="00013D92"/>
    <w:rsid w:val="00014D9C"/>
    <w:rsid w:val="00017365"/>
    <w:rsid w:val="000216D1"/>
    <w:rsid w:val="00021972"/>
    <w:rsid w:val="000221B9"/>
    <w:rsid w:val="00023F55"/>
    <w:rsid w:val="00025C14"/>
    <w:rsid w:val="000265F7"/>
    <w:rsid w:val="000266BE"/>
    <w:rsid w:val="000276E4"/>
    <w:rsid w:val="00036F80"/>
    <w:rsid w:val="00043D1A"/>
    <w:rsid w:val="000445A2"/>
    <w:rsid w:val="00045E3B"/>
    <w:rsid w:val="0005271B"/>
    <w:rsid w:val="000529CA"/>
    <w:rsid w:val="00054FAA"/>
    <w:rsid w:val="000554DD"/>
    <w:rsid w:val="000559D1"/>
    <w:rsid w:val="00056C31"/>
    <w:rsid w:val="00056D64"/>
    <w:rsid w:val="00056F1C"/>
    <w:rsid w:val="00062F15"/>
    <w:rsid w:val="0007155A"/>
    <w:rsid w:val="00071DA5"/>
    <w:rsid w:val="0007505F"/>
    <w:rsid w:val="0007572B"/>
    <w:rsid w:val="000764B1"/>
    <w:rsid w:val="00076583"/>
    <w:rsid w:val="00076857"/>
    <w:rsid w:val="00080B19"/>
    <w:rsid w:val="00083D7E"/>
    <w:rsid w:val="0008549C"/>
    <w:rsid w:val="00086150"/>
    <w:rsid w:val="000928B3"/>
    <w:rsid w:val="000A62E8"/>
    <w:rsid w:val="000A6486"/>
    <w:rsid w:val="000A7D6C"/>
    <w:rsid w:val="000B0ADA"/>
    <w:rsid w:val="000B11DE"/>
    <w:rsid w:val="000B286F"/>
    <w:rsid w:val="000B2ADC"/>
    <w:rsid w:val="000B37CD"/>
    <w:rsid w:val="000B3880"/>
    <w:rsid w:val="000B3C87"/>
    <w:rsid w:val="000B5F8A"/>
    <w:rsid w:val="000B6F43"/>
    <w:rsid w:val="000C5450"/>
    <w:rsid w:val="000D00A1"/>
    <w:rsid w:val="000D0ACE"/>
    <w:rsid w:val="000D57C5"/>
    <w:rsid w:val="000E0960"/>
    <w:rsid w:val="000E60F8"/>
    <w:rsid w:val="000F2611"/>
    <w:rsid w:val="00106333"/>
    <w:rsid w:val="00114294"/>
    <w:rsid w:val="00121A03"/>
    <w:rsid w:val="0012379D"/>
    <w:rsid w:val="001254E6"/>
    <w:rsid w:val="0012551F"/>
    <w:rsid w:val="00125E82"/>
    <w:rsid w:val="00126327"/>
    <w:rsid w:val="00127864"/>
    <w:rsid w:val="001322E0"/>
    <w:rsid w:val="00132EAE"/>
    <w:rsid w:val="00134B58"/>
    <w:rsid w:val="00145293"/>
    <w:rsid w:val="00147C9F"/>
    <w:rsid w:val="00150328"/>
    <w:rsid w:val="001504C0"/>
    <w:rsid w:val="001559AE"/>
    <w:rsid w:val="00155B19"/>
    <w:rsid w:val="00161CD5"/>
    <w:rsid w:val="001663CE"/>
    <w:rsid w:val="00175AF8"/>
    <w:rsid w:val="001776C7"/>
    <w:rsid w:val="00180850"/>
    <w:rsid w:val="001835A0"/>
    <w:rsid w:val="00183837"/>
    <w:rsid w:val="001843D1"/>
    <w:rsid w:val="00184A98"/>
    <w:rsid w:val="001865FD"/>
    <w:rsid w:val="0019656A"/>
    <w:rsid w:val="001A412F"/>
    <w:rsid w:val="001A6829"/>
    <w:rsid w:val="001A72D6"/>
    <w:rsid w:val="001B47DD"/>
    <w:rsid w:val="001B520D"/>
    <w:rsid w:val="001C2199"/>
    <w:rsid w:val="001C5425"/>
    <w:rsid w:val="001C63AF"/>
    <w:rsid w:val="001D27E8"/>
    <w:rsid w:val="001D3150"/>
    <w:rsid w:val="001D5210"/>
    <w:rsid w:val="001D6DAA"/>
    <w:rsid w:val="001D738C"/>
    <w:rsid w:val="001D7556"/>
    <w:rsid w:val="001E2DBC"/>
    <w:rsid w:val="001E3826"/>
    <w:rsid w:val="001E3E3A"/>
    <w:rsid w:val="001E5D66"/>
    <w:rsid w:val="001E78A6"/>
    <w:rsid w:val="001F3BB6"/>
    <w:rsid w:val="001F50B1"/>
    <w:rsid w:val="0020391C"/>
    <w:rsid w:val="00210205"/>
    <w:rsid w:val="00213335"/>
    <w:rsid w:val="00213F78"/>
    <w:rsid w:val="00217242"/>
    <w:rsid w:val="00217E47"/>
    <w:rsid w:val="00220B8F"/>
    <w:rsid w:val="00220C92"/>
    <w:rsid w:val="00221555"/>
    <w:rsid w:val="00222A8E"/>
    <w:rsid w:val="0022346F"/>
    <w:rsid w:val="0022382A"/>
    <w:rsid w:val="00230710"/>
    <w:rsid w:val="0023197A"/>
    <w:rsid w:val="00234096"/>
    <w:rsid w:val="002357AC"/>
    <w:rsid w:val="00235C7C"/>
    <w:rsid w:val="0023788A"/>
    <w:rsid w:val="002405A7"/>
    <w:rsid w:val="00240AC4"/>
    <w:rsid w:val="00241031"/>
    <w:rsid w:val="00243F32"/>
    <w:rsid w:val="00251F47"/>
    <w:rsid w:val="00252D1A"/>
    <w:rsid w:val="00253835"/>
    <w:rsid w:val="0025638E"/>
    <w:rsid w:val="002602B6"/>
    <w:rsid w:val="00260EB8"/>
    <w:rsid w:val="00261F51"/>
    <w:rsid w:val="00262A50"/>
    <w:rsid w:val="0027075B"/>
    <w:rsid w:val="0027195E"/>
    <w:rsid w:val="00275952"/>
    <w:rsid w:val="00275F66"/>
    <w:rsid w:val="00277499"/>
    <w:rsid w:val="00277953"/>
    <w:rsid w:val="0028224C"/>
    <w:rsid w:val="00282B52"/>
    <w:rsid w:val="002840F6"/>
    <w:rsid w:val="0028599F"/>
    <w:rsid w:val="00292377"/>
    <w:rsid w:val="0029482F"/>
    <w:rsid w:val="00296C0E"/>
    <w:rsid w:val="002A3549"/>
    <w:rsid w:val="002A36F6"/>
    <w:rsid w:val="002A3F27"/>
    <w:rsid w:val="002A4C08"/>
    <w:rsid w:val="002A7538"/>
    <w:rsid w:val="002B0073"/>
    <w:rsid w:val="002B01BC"/>
    <w:rsid w:val="002B37BB"/>
    <w:rsid w:val="002B433F"/>
    <w:rsid w:val="002B5313"/>
    <w:rsid w:val="002B73FC"/>
    <w:rsid w:val="002C12D2"/>
    <w:rsid w:val="002C31B1"/>
    <w:rsid w:val="002C4F34"/>
    <w:rsid w:val="002C5D34"/>
    <w:rsid w:val="002D0DE3"/>
    <w:rsid w:val="002D164F"/>
    <w:rsid w:val="002D1A0C"/>
    <w:rsid w:val="002D57F6"/>
    <w:rsid w:val="002D6AF4"/>
    <w:rsid w:val="002E0002"/>
    <w:rsid w:val="002E0D9B"/>
    <w:rsid w:val="002E1774"/>
    <w:rsid w:val="002E1AB4"/>
    <w:rsid w:val="002E1DDE"/>
    <w:rsid w:val="002E3770"/>
    <w:rsid w:val="002E4EDA"/>
    <w:rsid w:val="002E54AC"/>
    <w:rsid w:val="002E56F6"/>
    <w:rsid w:val="002F1327"/>
    <w:rsid w:val="002F139F"/>
    <w:rsid w:val="002F3078"/>
    <w:rsid w:val="002F5AC8"/>
    <w:rsid w:val="002F70EB"/>
    <w:rsid w:val="00302D6F"/>
    <w:rsid w:val="00311BF9"/>
    <w:rsid w:val="0031656A"/>
    <w:rsid w:val="00325AA0"/>
    <w:rsid w:val="00327203"/>
    <w:rsid w:val="00327FF0"/>
    <w:rsid w:val="0033012E"/>
    <w:rsid w:val="00331A2E"/>
    <w:rsid w:val="00333710"/>
    <w:rsid w:val="0033451A"/>
    <w:rsid w:val="00336408"/>
    <w:rsid w:val="00340F2A"/>
    <w:rsid w:val="00343842"/>
    <w:rsid w:val="00344B6B"/>
    <w:rsid w:val="00344C9F"/>
    <w:rsid w:val="00345A26"/>
    <w:rsid w:val="00346B74"/>
    <w:rsid w:val="00350A4A"/>
    <w:rsid w:val="0035231D"/>
    <w:rsid w:val="0035311E"/>
    <w:rsid w:val="003557E8"/>
    <w:rsid w:val="0036356D"/>
    <w:rsid w:val="00364833"/>
    <w:rsid w:val="00364BFB"/>
    <w:rsid w:val="003650EC"/>
    <w:rsid w:val="00365A84"/>
    <w:rsid w:val="003663F0"/>
    <w:rsid w:val="00370175"/>
    <w:rsid w:val="0037396D"/>
    <w:rsid w:val="00375845"/>
    <w:rsid w:val="00383B3D"/>
    <w:rsid w:val="00384748"/>
    <w:rsid w:val="00386517"/>
    <w:rsid w:val="00386A6C"/>
    <w:rsid w:val="003A42FD"/>
    <w:rsid w:val="003A46EE"/>
    <w:rsid w:val="003A53BE"/>
    <w:rsid w:val="003A61C6"/>
    <w:rsid w:val="003B175C"/>
    <w:rsid w:val="003B251C"/>
    <w:rsid w:val="003B5815"/>
    <w:rsid w:val="003B6CC9"/>
    <w:rsid w:val="003C0E8C"/>
    <w:rsid w:val="003C3021"/>
    <w:rsid w:val="003C4E6E"/>
    <w:rsid w:val="003D11C2"/>
    <w:rsid w:val="003D2589"/>
    <w:rsid w:val="003D316F"/>
    <w:rsid w:val="003D41FF"/>
    <w:rsid w:val="003F4BD8"/>
    <w:rsid w:val="003F58BE"/>
    <w:rsid w:val="003F6356"/>
    <w:rsid w:val="003F63CE"/>
    <w:rsid w:val="00405F59"/>
    <w:rsid w:val="00415AD1"/>
    <w:rsid w:val="00417022"/>
    <w:rsid w:val="00417329"/>
    <w:rsid w:val="004212DF"/>
    <w:rsid w:val="0042180D"/>
    <w:rsid w:val="00422581"/>
    <w:rsid w:val="00424CD2"/>
    <w:rsid w:val="00424D7D"/>
    <w:rsid w:val="00425BE4"/>
    <w:rsid w:val="00426F84"/>
    <w:rsid w:val="00427CC9"/>
    <w:rsid w:val="00427FA8"/>
    <w:rsid w:val="00430485"/>
    <w:rsid w:val="004367BE"/>
    <w:rsid w:val="00436E2E"/>
    <w:rsid w:val="0043755A"/>
    <w:rsid w:val="004408C8"/>
    <w:rsid w:val="00442C76"/>
    <w:rsid w:val="00443FA5"/>
    <w:rsid w:val="00444296"/>
    <w:rsid w:val="00446E69"/>
    <w:rsid w:val="00447338"/>
    <w:rsid w:val="00450EB3"/>
    <w:rsid w:val="0046148B"/>
    <w:rsid w:val="00461732"/>
    <w:rsid w:val="004633FA"/>
    <w:rsid w:val="00472779"/>
    <w:rsid w:val="00474109"/>
    <w:rsid w:val="00475499"/>
    <w:rsid w:val="004755DF"/>
    <w:rsid w:val="004829D5"/>
    <w:rsid w:val="00482DAC"/>
    <w:rsid w:val="00484019"/>
    <w:rsid w:val="00487DEA"/>
    <w:rsid w:val="00494AF3"/>
    <w:rsid w:val="0049653A"/>
    <w:rsid w:val="004A111F"/>
    <w:rsid w:val="004A194C"/>
    <w:rsid w:val="004A34AA"/>
    <w:rsid w:val="004A4D85"/>
    <w:rsid w:val="004A5BA3"/>
    <w:rsid w:val="004B2474"/>
    <w:rsid w:val="004B4F6F"/>
    <w:rsid w:val="004B6F09"/>
    <w:rsid w:val="004B78C2"/>
    <w:rsid w:val="004C10ED"/>
    <w:rsid w:val="004C1292"/>
    <w:rsid w:val="004C12E7"/>
    <w:rsid w:val="004C4264"/>
    <w:rsid w:val="004C59AC"/>
    <w:rsid w:val="004C71A0"/>
    <w:rsid w:val="004D2E8A"/>
    <w:rsid w:val="004D3CC6"/>
    <w:rsid w:val="004D44DF"/>
    <w:rsid w:val="004D5B0D"/>
    <w:rsid w:val="004E45D0"/>
    <w:rsid w:val="004E795B"/>
    <w:rsid w:val="004F5BE7"/>
    <w:rsid w:val="005018BB"/>
    <w:rsid w:val="00503D00"/>
    <w:rsid w:val="005109FE"/>
    <w:rsid w:val="00514078"/>
    <w:rsid w:val="005146EE"/>
    <w:rsid w:val="00516C97"/>
    <w:rsid w:val="00525C8D"/>
    <w:rsid w:val="00527C62"/>
    <w:rsid w:val="00533F30"/>
    <w:rsid w:val="00540C74"/>
    <w:rsid w:val="00543426"/>
    <w:rsid w:val="005446ED"/>
    <w:rsid w:val="00544D7C"/>
    <w:rsid w:val="005466E0"/>
    <w:rsid w:val="00546D07"/>
    <w:rsid w:val="0054730D"/>
    <w:rsid w:val="005475FE"/>
    <w:rsid w:val="00555411"/>
    <w:rsid w:val="005565E5"/>
    <w:rsid w:val="00562406"/>
    <w:rsid w:val="00563D48"/>
    <w:rsid w:val="005662AB"/>
    <w:rsid w:val="00570191"/>
    <w:rsid w:val="0057029B"/>
    <w:rsid w:val="005719C7"/>
    <w:rsid w:val="0057382B"/>
    <w:rsid w:val="005741A3"/>
    <w:rsid w:val="005763A2"/>
    <w:rsid w:val="00576B09"/>
    <w:rsid w:val="0058245F"/>
    <w:rsid w:val="005856F1"/>
    <w:rsid w:val="00590087"/>
    <w:rsid w:val="00591208"/>
    <w:rsid w:val="005930ED"/>
    <w:rsid w:val="0059701F"/>
    <w:rsid w:val="005A227D"/>
    <w:rsid w:val="005A4C5C"/>
    <w:rsid w:val="005A50F5"/>
    <w:rsid w:val="005A5699"/>
    <w:rsid w:val="005B26D9"/>
    <w:rsid w:val="005C378D"/>
    <w:rsid w:val="005C4FD9"/>
    <w:rsid w:val="005C6F48"/>
    <w:rsid w:val="005D1582"/>
    <w:rsid w:val="005D3CB8"/>
    <w:rsid w:val="005E1CFF"/>
    <w:rsid w:val="005E398D"/>
    <w:rsid w:val="005F22C6"/>
    <w:rsid w:val="005F26BB"/>
    <w:rsid w:val="005F2A61"/>
    <w:rsid w:val="005F492D"/>
    <w:rsid w:val="006019D3"/>
    <w:rsid w:val="00602A7C"/>
    <w:rsid w:val="00603338"/>
    <w:rsid w:val="00603978"/>
    <w:rsid w:val="00612BE4"/>
    <w:rsid w:val="006143D7"/>
    <w:rsid w:val="00616ED6"/>
    <w:rsid w:val="006178E1"/>
    <w:rsid w:val="0062175D"/>
    <w:rsid w:val="00630274"/>
    <w:rsid w:val="006307BC"/>
    <w:rsid w:val="0063388E"/>
    <w:rsid w:val="00634C74"/>
    <w:rsid w:val="00636936"/>
    <w:rsid w:val="00636E69"/>
    <w:rsid w:val="00637358"/>
    <w:rsid w:val="00640BBF"/>
    <w:rsid w:val="00644B12"/>
    <w:rsid w:val="006459C5"/>
    <w:rsid w:val="006504E4"/>
    <w:rsid w:val="00651995"/>
    <w:rsid w:val="00651BD1"/>
    <w:rsid w:val="00654692"/>
    <w:rsid w:val="00655487"/>
    <w:rsid w:val="00657FD1"/>
    <w:rsid w:val="006604D1"/>
    <w:rsid w:val="006620BB"/>
    <w:rsid w:val="00662220"/>
    <w:rsid w:val="00663539"/>
    <w:rsid w:val="006635B8"/>
    <w:rsid w:val="00665EAF"/>
    <w:rsid w:val="006664E7"/>
    <w:rsid w:val="00667BA9"/>
    <w:rsid w:val="00670EE0"/>
    <w:rsid w:val="00675321"/>
    <w:rsid w:val="006760FD"/>
    <w:rsid w:val="0067775F"/>
    <w:rsid w:val="0068209A"/>
    <w:rsid w:val="00685762"/>
    <w:rsid w:val="00693933"/>
    <w:rsid w:val="00697056"/>
    <w:rsid w:val="006A0411"/>
    <w:rsid w:val="006A055E"/>
    <w:rsid w:val="006A57AB"/>
    <w:rsid w:val="006B2A77"/>
    <w:rsid w:val="006C1219"/>
    <w:rsid w:val="006C244A"/>
    <w:rsid w:val="006C38A3"/>
    <w:rsid w:val="006C3F0D"/>
    <w:rsid w:val="006C4969"/>
    <w:rsid w:val="006C6190"/>
    <w:rsid w:val="006C721E"/>
    <w:rsid w:val="006D0ACC"/>
    <w:rsid w:val="006D2550"/>
    <w:rsid w:val="006D4955"/>
    <w:rsid w:val="006D57B2"/>
    <w:rsid w:val="006E0A40"/>
    <w:rsid w:val="006E5116"/>
    <w:rsid w:val="006E5FA2"/>
    <w:rsid w:val="006E7025"/>
    <w:rsid w:val="006F28E7"/>
    <w:rsid w:val="006F31CF"/>
    <w:rsid w:val="006F48BA"/>
    <w:rsid w:val="007002D4"/>
    <w:rsid w:val="00701EEC"/>
    <w:rsid w:val="00704CD6"/>
    <w:rsid w:val="0070602F"/>
    <w:rsid w:val="007078E3"/>
    <w:rsid w:val="007136D6"/>
    <w:rsid w:val="007139DC"/>
    <w:rsid w:val="00715041"/>
    <w:rsid w:val="00715893"/>
    <w:rsid w:val="00715BC2"/>
    <w:rsid w:val="007201FC"/>
    <w:rsid w:val="00727A8C"/>
    <w:rsid w:val="00730F7F"/>
    <w:rsid w:val="00734A0F"/>
    <w:rsid w:val="0073608D"/>
    <w:rsid w:val="00736DE6"/>
    <w:rsid w:val="00741F6D"/>
    <w:rsid w:val="00742AC0"/>
    <w:rsid w:val="00743949"/>
    <w:rsid w:val="0074742F"/>
    <w:rsid w:val="00753C5C"/>
    <w:rsid w:val="00754342"/>
    <w:rsid w:val="0075617C"/>
    <w:rsid w:val="0076177F"/>
    <w:rsid w:val="007622F6"/>
    <w:rsid w:val="00763997"/>
    <w:rsid w:val="00766AA6"/>
    <w:rsid w:val="00770399"/>
    <w:rsid w:val="0078735C"/>
    <w:rsid w:val="0078765D"/>
    <w:rsid w:val="00791AE6"/>
    <w:rsid w:val="00792F69"/>
    <w:rsid w:val="00794BE9"/>
    <w:rsid w:val="00797AA6"/>
    <w:rsid w:val="007A333F"/>
    <w:rsid w:val="007A3DBF"/>
    <w:rsid w:val="007A7560"/>
    <w:rsid w:val="007B1658"/>
    <w:rsid w:val="007B65E6"/>
    <w:rsid w:val="007B79C8"/>
    <w:rsid w:val="007C0369"/>
    <w:rsid w:val="007C08BD"/>
    <w:rsid w:val="007C1A88"/>
    <w:rsid w:val="007C3AB3"/>
    <w:rsid w:val="007C3CFE"/>
    <w:rsid w:val="007D1450"/>
    <w:rsid w:val="007D218D"/>
    <w:rsid w:val="007D3E2E"/>
    <w:rsid w:val="007D4893"/>
    <w:rsid w:val="007D4BC1"/>
    <w:rsid w:val="007D57DB"/>
    <w:rsid w:val="007E23FF"/>
    <w:rsid w:val="007E2BBF"/>
    <w:rsid w:val="007E2D74"/>
    <w:rsid w:val="007E55B7"/>
    <w:rsid w:val="007F0276"/>
    <w:rsid w:val="007F110B"/>
    <w:rsid w:val="007F1ED1"/>
    <w:rsid w:val="007F2728"/>
    <w:rsid w:val="007F6BA6"/>
    <w:rsid w:val="007F7EBE"/>
    <w:rsid w:val="0080237F"/>
    <w:rsid w:val="00803A7C"/>
    <w:rsid w:val="00811132"/>
    <w:rsid w:val="00813B95"/>
    <w:rsid w:val="008162E0"/>
    <w:rsid w:val="00823FB1"/>
    <w:rsid w:val="00830899"/>
    <w:rsid w:val="0083283C"/>
    <w:rsid w:val="00834947"/>
    <w:rsid w:val="00834B62"/>
    <w:rsid w:val="00845489"/>
    <w:rsid w:val="008527A3"/>
    <w:rsid w:val="0085479F"/>
    <w:rsid w:val="00855710"/>
    <w:rsid w:val="0085596F"/>
    <w:rsid w:val="00856E1E"/>
    <w:rsid w:val="008603BE"/>
    <w:rsid w:val="00866BFA"/>
    <w:rsid w:val="00876115"/>
    <w:rsid w:val="00877E2B"/>
    <w:rsid w:val="008843AF"/>
    <w:rsid w:val="00884CF9"/>
    <w:rsid w:val="00884DBA"/>
    <w:rsid w:val="00885AA1"/>
    <w:rsid w:val="0088622E"/>
    <w:rsid w:val="00887177"/>
    <w:rsid w:val="00887A99"/>
    <w:rsid w:val="0089067B"/>
    <w:rsid w:val="00893272"/>
    <w:rsid w:val="00895516"/>
    <w:rsid w:val="008A0CE2"/>
    <w:rsid w:val="008A1374"/>
    <w:rsid w:val="008A356F"/>
    <w:rsid w:val="008A3D81"/>
    <w:rsid w:val="008A6037"/>
    <w:rsid w:val="008B2F83"/>
    <w:rsid w:val="008C12FA"/>
    <w:rsid w:val="008C2DF3"/>
    <w:rsid w:val="008C312F"/>
    <w:rsid w:val="008D4895"/>
    <w:rsid w:val="008D6AB4"/>
    <w:rsid w:val="008E0752"/>
    <w:rsid w:val="008E10C0"/>
    <w:rsid w:val="008E2E6B"/>
    <w:rsid w:val="008E4ACD"/>
    <w:rsid w:val="008E5522"/>
    <w:rsid w:val="008E6339"/>
    <w:rsid w:val="008E7655"/>
    <w:rsid w:val="008F115D"/>
    <w:rsid w:val="008F1827"/>
    <w:rsid w:val="008F2FA1"/>
    <w:rsid w:val="008F39FA"/>
    <w:rsid w:val="008F40B3"/>
    <w:rsid w:val="008F65A9"/>
    <w:rsid w:val="009039C2"/>
    <w:rsid w:val="00904804"/>
    <w:rsid w:val="009144A8"/>
    <w:rsid w:val="00924F04"/>
    <w:rsid w:val="0092586A"/>
    <w:rsid w:val="00926216"/>
    <w:rsid w:val="00926C30"/>
    <w:rsid w:val="009275B3"/>
    <w:rsid w:val="00936050"/>
    <w:rsid w:val="00936D70"/>
    <w:rsid w:val="009378A9"/>
    <w:rsid w:val="00940A04"/>
    <w:rsid w:val="0094161D"/>
    <w:rsid w:val="0094379B"/>
    <w:rsid w:val="0094471E"/>
    <w:rsid w:val="0094543D"/>
    <w:rsid w:val="00946243"/>
    <w:rsid w:val="009547CC"/>
    <w:rsid w:val="009551B3"/>
    <w:rsid w:val="009571A3"/>
    <w:rsid w:val="009574EF"/>
    <w:rsid w:val="009608EF"/>
    <w:rsid w:val="009632CE"/>
    <w:rsid w:val="00967552"/>
    <w:rsid w:val="009702BC"/>
    <w:rsid w:val="00973C29"/>
    <w:rsid w:val="00974EBF"/>
    <w:rsid w:val="00975E9A"/>
    <w:rsid w:val="009817B4"/>
    <w:rsid w:val="009821F8"/>
    <w:rsid w:val="009826BD"/>
    <w:rsid w:val="009828F7"/>
    <w:rsid w:val="00991F82"/>
    <w:rsid w:val="00994228"/>
    <w:rsid w:val="0099715A"/>
    <w:rsid w:val="009A01C6"/>
    <w:rsid w:val="009A4FD8"/>
    <w:rsid w:val="009A54D1"/>
    <w:rsid w:val="009A5657"/>
    <w:rsid w:val="009A6542"/>
    <w:rsid w:val="009A6544"/>
    <w:rsid w:val="009B017A"/>
    <w:rsid w:val="009B041E"/>
    <w:rsid w:val="009B36BD"/>
    <w:rsid w:val="009C194E"/>
    <w:rsid w:val="009C4AAE"/>
    <w:rsid w:val="009C4B09"/>
    <w:rsid w:val="009C6E28"/>
    <w:rsid w:val="009D13DF"/>
    <w:rsid w:val="009D5367"/>
    <w:rsid w:val="009D69F0"/>
    <w:rsid w:val="009D7353"/>
    <w:rsid w:val="009D7A26"/>
    <w:rsid w:val="009F15F1"/>
    <w:rsid w:val="009F5BE8"/>
    <w:rsid w:val="009F766D"/>
    <w:rsid w:val="00A044C6"/>
    <w:rsid w:val="00A04817"/>
    <w:rsid w:val="00A0602B"/>
    <w:rsid w:val="00A07272"/>
    <w:rsid w:val="00A07D5F"/>
    <w:rsid w:val="00A109E6"/>
    <w:rsid w:val="00A142F7"/>
    <w:rsid w:val="00A20E59"/>
    <w:rsid w:val="00A2347C"/>
    <w:rsid w:val="00A24F4A"/>
    <w:rsid w:val="00A2617E"/>
    <w:rsid w:val="00A3013F"/>
    <w:rsid w:val="00A30FA2"/>
    <w:rsid w:val="00A332C0"/>
    <w:rsid w:val="00A3382A"/>
    <w:rsid w:val="00A33ED5"/>
    <w:rsid w:val="00A34751"/>
    <w:rsid w:val="00A374F9"/>
    <w:rsid w:val="00A37F40"/>
    <w:rsid w:val="00A422CB"/>
    <w:rsid w:val="00A42851"/>
    <w:rsid w:val="00A42A2A"/>
    <w:rsid w:val="00A445C5"/>
    <w:rsid w:val="00A530E3"/>
    <w:rsid w:val="00A570B8"/>
    <w:rsid w:val="00A57CE9"/>
    <w:rsid w:val="00A621D5"/>
    <w:rsid w:val="00A655DF"/>
    <w:rsid w:val="00A72188"/>
    <w:rsid w:val="00A754DE"/>
    <w:rsid w:val="00A75BC1"/>
    <w:rsid w:val="00A80F0E"/>
    <w:rsid w:val="00A82C2A"/>
    <w:rsid w:val="00A84462"/>
    <w:rsid w:val="00A9121D"/>
    <w:rsid w:val="00A94FA4"/>
    <w:rsid w:val="00AB1ECC"/>
    <w:rsid w:val="00AB37B4"/>
    <w:rsid w:val="00AB676C"/>
    <w:rsid w:val="00AB6F05"/>
    <w:rsid w:val="00AC0E45"/>
    <w:rsid w:val="00AC0FD5"/>
    <w:rsid w:val="00AC3D68"/>
    <w:rsid w:val="00AD03CE"/>
    <w:rsid w:val="00AD095E"/>
    <w:rsid w:val="00AD61B2"/>
    <w:rsid w:val="00AD6325"/>
    <w:rsid w:val="00AD76D3"/>
    <w:rsid w:val="00AF0A03"/>
    <w:rsid w:val="00AF16D5"/>
    <w:rsid w:val="00AF1AA8"/>
    <w:rsid w:val="00AF2D19"/>
    <w:rsid w:val="00AF4826"/>
    <w:rsid w:val="00AF4890"/>
    <w:rsid w:val="00AF4AE8"/>
    <w:rsid w:val="00AF576A"/>
    <w:rsid w:val="00AF6970"/>
    <w:rsid w:val="00B02C2B"/>
    <w:rsid w:val="00B0337B"/>
    <w:rsid w:val="00B07A31"/>
    <w:rsid w:val="00B1186A"/>
    <w:rsid w:val="00B146A5"/>
    <w:rsid w:val="00B14ED2"/>
    <w:rsid w:val="00B20917"/>
    <w:rsid w:val="00B23E55"/>
    <w:rsid w:val="00B260BF"/>
    <w:rsid w:val="00B2624C"/>
    <w:rsid w:val="00B34297"/>
    <w:rsid w:val="00B34422"/>
    <w:rsid w:val="00B34D88"/>
    <w:rsid w:val="00B36383"/>
    <w:rsid w:val="00B3658D"/>
    <w:rsid w:val="00B37718"/>
    <w:rsid w:val="00B37969"/>
    <w:rsid w:val="00B448C2"/>
    <w:rsid w:val="00B4569E"/>
    <w:rsid w:val="00B469A5"/>
    <w:rsid w:val="00B47310"/>
    <w:rsid w:val="00B473AC"/>
    <w:rsid w:val="00B53F02"/>
    <w:rsid w:val="00B5402B"/>
    <w:rsid w:val="00B5700B"/>
    <w:rsid w:val="00B612FF"/>
    <w:rsid w:val="00B6510F"/>
    <w:rsid w:val="00B6620A"/>
    <w:rsid w:val="00B71FBA"/>
    <w:rsid w:val="00B74DD8"/>
    <w:rsid w:val="00B82EC9"/>
    <w:rsid w:val="00B94243"/>
    <w:rsid w:val="00BA25D3"/>
    <w:rsid w:val="00BA2FE5"/>
    <w:rsid w:val="00BA3DA3"/>
    <w:rsid w:val="00BA428C"/>
    <w:rsid w:val="00BA7114"/>
    <w:rsid w:val="00BB026B"/>
    <w:rsid w:val="00BB232C"/>
    <w:rsid w:val="00BB7D49"/>
    <w:rsid w:val="00BC3750"/>
    <w:rsid w:val="00BC3CD6"/>
    <w:rsid w:val="00BC53A0"/>
    <w:rsid w:val="00BC5790"/>
    <w:rsid w:val="00BC5916"/>
    <w:rsid w:val="00BD5920"/>
    <w:rsid w:val="00BD64CE"/>
    <w:rsid w:val="00BD7416"/>
    <w:rsid w:val="00BD74FB"/>
    <w:rsid w:val="00BD7D53"/>
    <w:rsid w:val="00BE1C15"/>
    <w:rsid w:val="00BE1D6B"/>
    <w:rsid w:val="00BE1F95"/>
    <w:rsid w:val="00BE4B24"/>
    <w:rsid w:val="00BE5990"/>
    <w:rsid w:val="00BE64F6"/>
    <w:rsid w:val="00BE77B1"/>
    <w:rsid w:val="00BF15C3"/>
    <w:rsid w:val="00BF2F9B"/>
    <w:rsid w:val="00BF50CA"/>
    <w:rsid w:val="00BF6749"/>
    <w:rsid w:val="00BF6DA7"/>
    <w:rsid w:val="00C016DC"/>
    <w:rsid w:val="00C01B41"/>
    <w:rsid w:val="00C03966"/>
    <w:rsid w:val="00C04841"/>
    <w:rsid w:val="00C10A13"/>
    <w:rsid w:val="00C11637"/>
    <w:rsid w:val="00C13AE4"/>
    <w:rsid w:val="00C14B1A"/>
    <w:rsid w:val="00C155A8"/>
    <w:rsid w:val="00C202D1"/>
    <w:rsid w:val="00C2049A"/>
    <w:rsid w:val="00C21725"/>
    <w:rsid w:val="00C2478C"/>
    <w:rsid w:val="00C25E0B"/>
    <w:rsid w:val="00C27BF0"/>
    <w:rsid w:val="00C30747"/>
    <w:rsid w:val="00C34FD6"/>
    <w:rsid w:val="00C37766"/>
    <w:rsid w:val="00C378F8"/>
    <w:rsid w:val="00C432B0"/>
    <w:rsid w:val="00C43705"/>
    <w:rsid w:val="00C51FFA"/>
    <w:rsid w:val="00C54F16"/>
    <w:rsid w:val="00C633D6"/>
    <w:rsid w:val="00C6424E"/>
    <w:rsid w:val="00C64919"/>
    <w:rsid w:val="00C64A0C"/>
    <w:rsid w:val="00C658C6"/>
    <w:rsid w:val="00C66035"/>
    <w:rsid w:val="00C75214"/>
    <w:rsid w:val="00C761DC"/>
    <w:rsid w:val="00C76BE5"/>
    <w:rsid w:val="00C77FDD"/>
    <w:rsid w:val="00C81D09"/>
    <w:rsid w:val="00C82D65"/>
    <w:rsid w:val="00C93C86"/>
    <w:rsid w:val="00C95F3D"/>
    <w:rsid w:val="00C96044"/>
    <w:rsid w:val="00C97AA0"/>
    <w:rsid w:val="00CA0023"/>
    <w:rsid w:val="00CA506C"/>
    <w:rsid w:val="00CB4F22"/>
    <w:rsid w:val="00CC095F"/>
    <w:rsid w:val="00CC1F79"/>
    <w:rsid w:val="00CC52ED"/>
    <w:rsid w:val="00CC7E7F"/>
    <w:rsid w:val="00CD043B"/>
    <w:rsid w:val="00CD62B9"/>
    <w:rsid w:val="00CF0040"/>
    <w:rsid w:val="00CF0598"/>
    <w:rsid w:val="00CF23F5"/>
    <w:rsid w:val="00CF61E7"/>
    <w:rsid w:val="00D05FB6"/>
    <w:rsid w:val="00D06467"/>
    <w:rsid w:val="00D07103"/>
    <w:rsid w:val="00D14709"/>
    <w:rsid w:val="00D15A65"/>
    <w:rsid w:val="00D15C2D"/>
    <w:rsid w:val="00D15EFA"/>
    <w:rsid w:val="00D1785B"/>
    <w:rsid w:val="00D21D49"/>
    <w:rsid w:val="00D23270"/>
    <w:rsid w:val="00D27389"/>
    <w:rsid w:val="00D27E53"/>
    <w:rsid w:val="00D3014C"/>
    <w:rsid w:val="00D34A1D"/>
    <w:rsid w:val="00D34CCC"/>
    <w:rsid w:val="00D358B2"/>
    <w:rsid w:val="00D35BD9"/>
    <w:rsid w:val="00D42E37"/>
    <w:rsid w:val="00D44012"/>
    <w:rsid w:val="00D45E61"/>
    <w:rsid w:val="00D467BB"/>
    <w:rsid w:val="00D46DFD"/>
    <w:rsid w:val="00D51D28"/>
    <w:rsid w:val="00D55966"/>
    <w:rsid w:val="00D63DEA"/>
    <w:rsid w:val="00D63E18"/>
    <w:rsid w:val="00D6431F"/>
    <w:rsid w:val="00D6703C"/>
    <w:rsid w:val="00D67463"/>
    <w:rsid w:val="00D72E69"/>
    <w:rsid w:val="00D746A5"/>
    <w:rsid w:val="00D75C8A"/>
    <w:rsid w:val="00D8088D"/>
    <w:rsid w:val="00D81AF0"/>
    <w:rsid w:val="00D8430E"/>
    <w:rsid w:val="00D91D45"/>
    <w:rsid w:val="00D9388A"/>
    <w:rsid w:val="00D9479C"/>
    <w:rsid w:val="00DA19AB"/>
    <w:rsid w:val="00DA49B1"/>
    <w:rsid w:val="00DB00E8"/>
    <w:rsid w:val="00DB37A6"/>
    <w:rsid w:val="00DB4C0C"/>
    <w:rsid w:val="00DB7DDA"/>
    <w:rsid w:val="00DD05AC"/>
    <w:rsid w:val="00DD36F6"/>
    <w:rsid w:val="00DE5FD4"/>
    <w:rsid w:val="00DF10FF"/>
    <w:rsid w:val="00DF2179"/>
    <w:rsid w:val="00DF3090"/>
    <w:rsid w:val="00DF348B"/>
    <w:rsid w:val="00DF54C7"/>
    <w:rsid w:val="00E01497"/>
    <w:rsid w:val="00E11373"/>
    <w:rsid w:val="00E12888"/>
    <w:rsid w:val="00E14DE0"/>
    <w:rsid w:val="00E1579F"/>
    <w:rsid w:val="00E2210F"/>
    <w:rsid w:val="00E23ABF"/>
    <w:rsid w:val="00E268A4"/>
    <w:rsid w:val="00E33872"/>
    <w:rsid w:val="00E36599"/>
    <w:rsid w:val="00E36D6C"/>
    <w:rsid w:val="00E37B10"/>
    <w:rsid w:val="00E41338"/>
    <w:rsid w:val="00E41364"/>
    <w:rsid w:val="00E451D6"/>
    <w:rsid w:val="00E5256D"/>
    <w:rsid w:val="00E61DBA"/>
    <w:rsid w:val="00E72145"/>
    <w:rsid w:val="00E72686"/>
    <w:rsid w:val="00E75CD8"/>
    <w:rsid w:val="00E804D0"/>
    <w:rsid w:val="00E80A09"/>
    <w:rsid w:val="00E86C65"/>
    <w:rsid w:val="00E87862"/>
    <w:rsid w:val="00E90481"/>
    <w:rsid w:val="00E905EC"/>
    <w:rsid w:val="00E93783"/>
    <w:rsid w:val="00E941B9"/>
    <w:rsid w:val="00E9741E"/>
    <w:rsid w:val="00E97CC1"/>
    <w:rsid w:val="00EA023A"/>
    <w:rsid w:val="00EA058F"/>
    <w:rsid w:val="00EA2CD6"/>
    <w:rsid w:val="00EA4926"/>
    <w:rsid w:val="00EB38DF"/>
    <w:rsid w:val="00EB6446"/>
    <w:rsid w:val="00EB7BA2"/>
    <w:rsid w:val="00EC075D"/>
    <w:rsid w:val="00EC2DD8"/>
    <w:rsid w:val="00EC477A"/>
    <w:rsid w:val="00EC6B09"/>
    <w:rsid w:val="00EC7108"/>
    <w:rsid w:val="00ED1B54"/>
    <w:rsid w:val="00ED2246"/>
    <w:rsid w:val="00ED2FE9"/>
    <w:rsid w:val="00ED33F3"/>
    <w:rsid w:val="00EE5EB3"/>
    <w:rsid w:val="00EE6E7B"/>
    <w:rsid w:val="00EF0DB4"/>
    <w:rsid w:val="00F018AF"/>
    <w:rsid w:val="00F03A52"/>
    <w:rsid w:val="00F0410B"/>
    <w:rsid w:val="00F04E2D"/>
    <w:rsid w:val="00F0537F"/>
    <w:rsid w:val="00F0608E"/>
    <w:rsid w:val="00F0655F"/>
    <w:rsid w:val="00F0691B"/>
    <w:rsid w:val="00F0784A"/>
    <w:rsid w:val="00F13A15"/>
    <w:rsid w:val="00F21A2B"/>
    <w:rsid w:val="00F21A5B"/>
    <w:rsid w:val="00F21A73"/>
    <w:rsid w:val="00F320A2"/>
    <w:rsid w:val="00F32F97"/>
    <w:rsid w:val="00F33FC0"/>
    <w:rsid w:val="00F34A69"/>
    <w:rsid w:val="00F506E6"/>
    <w:rsid w:val="00F56DB0"/>
    <w:rsid w:val="00F67F0A"/>
    <w:rsid w:val="00F720AE"/>
    <w:rsid w:val="00F7434D"/>
    <w:rsid w:val="00F74EB0"/>
    <w:rsid w:val="00F75693"/>
    <w:rsid w:val="00F808B3"/>
    <w:rsid w:val="00F8103D"/>
    <w:rsid w:val="00F8254F"/>
    <w:rsid w:val="00F83EFD"/>
    <w:rsid w:val="00F87127"/>
    <w:rsid w:val="00F878D9"/>
    <w:rsid w:val="00F9342B"/>
    <w:rsid w:val="00F949E4"/>
    <w:rsid w:val="00F9700C"/>
    <w:rsid w:val="00F97500"/>
    <w:rsid w:val="00FC03F2"/>
    <w:rsid w:val="00FC1137"/>
    <w:rsid w:val="00FC28BA"/>
    <w:rsid w:val="00FC4AA2"/>
    <w:rsid w:val="00FD11F1"/>
    <w:rsid w:val="00FD48DE"/>
    <w:rsid w:val="00FD7CA9"/>
    <w:rsid w:val="00FD7DD6"/>
    <w:rsid w:val="00FE04F1"/>
    <w:rsid w:val="00FE0768"/>
    <w:rsid w:val="00FE10F7"/>
    <w:rsid w:val="00FE2482"/>
    <w:rsid w:val="00FE6220"/>
    <w:rsid w:val="00FE70A9"/>
    <w:rsid w:val="00FE7C04"/>
    <w:rsid w:val="00FF335F"/>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AFB38"/>
  <w15:chartTrackingRefBased/>
  <w15:docId w15:val="{199B1BD1-75B6-4460-9498-107CEB8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3A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61C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4C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01F"/>
    <w:rPr>
      <w:sz w:val="20"/>
      <w:szCs w:val="20"/>
    </w:rPr>
  </w:style>
  <w:style w:type="character" w:styleId="FootnoteReference">
    <w:name w:val="footnote reference"/>
    <w:basedOn w:val="DefaultParagraphFont"/>
    <w:uiPriority w:val="99"/>
    <w:semiHidden/>
    <w:unhideWhenUsed/>
    <w:rsid w:val="0059701F"/>
    <w:rPr>
      <w:vertAlign w:val="superscript"/>
    </w:rPr>
  </w:style>
  <w:style w:type="paragraph" w:styleId="ListParagraph">
    <w:name w:val="List Paragraph"/>
    <w:basedOn w:val="Normal"/>
    <w:uiPriority w:val="34"/>
    <w:qFormat/>
    <w:rsid w:val="00430485"/>
    <w:pPr>
      <w:ind w:left="720"/>
      <w:contextualSpacing/>
    </w:pPr>
  </w:style>
  <w:style w:type="paragraph" w:styleId="Header">
    <w:name w:val="header"/>
    <w:basedOn w:val="Normal"/>
    <w:link w:val="HeaderChar"/>
    <w:uiPriority w:val="99"/>
    <w:unhideWhenUsed/>
    <w:rsid w:val="0043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85"/>
  </w:style>
  <w:style w:type="paragraph" w:styleId="Footer">
    <w:name w:val="footer"/>
    <w:basedOn w:val="Normal"/>
    <w:link w:val="FooterChar"/>
    <w:uiPriority w:val="99"/>
    <w:unhideWhenUsed/>
    <w:rsid w:val="0043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85"/>
  </w:style>
  <w:style w:type="paragraph" w:styleId="BalloonText">
    <w:name w:val="Balloon Text"/>
    <w:basedOn w:val="Normal"/>
    <w:link w:val="BalloonTextChar"/>
    <w:uiPriority w:val="99"/>
    <w:semiHidden/>
    <w:unhideWhenUsed/>
    <w:rsid w:val="00BC3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50"/>
    <w:rPr>
      <w:rFonts w:ascii="Segoe UI" w:hAnsi="Segoe UI" w:cs="Segoe UI"/>
      <w:sz w:val="18"/>
      <w:szCs w:val="18"/>
    </w:rPr>
  </w:style>
  <w:style w:type="character" w:styleId="CommentReference">
    <w:name w:val="annotation reference"/>
    <w:basedOn w:val="DefaultParagraphFont"/>
    <w:uiPriority w:val="99"/>
    <w:semiHidden/>
    <w:unhideWhenUsed/>
    <w:rsid w:val="00BC3750"/>
    <w:rPr>
      <w:sz w:val="16"/>
      <w:szCs w:val="16"/>
    </w:rPr>
  </w:style>
  <w:style w:type="paragraph" w:styleId="CommentText">
    <w:name w:val="annotation text"/>
    <w:basedOn w:val="Normal"/>
    <w:link w:val="CommentTextChar"/>
    <w:uiPriority w:val="99"/>
    <w:semiHidden/>
    <w:unhideWhenUsed/>
    <w:rsid w:val="00BC3750"/>
    <w:pPr>
      <w:spacing w:line="240" w:lineRule="auto"/>
    </w:pPr>
    <w:rPr>
      <w:sz w:val="20"/>
      <w:szCs w:val="20"/>
    </w:rPr>
  </w:style>
  <w:style w:type="character" w:customStyle="1" w:styleId="CommentTextChar">
    <w:name w:val="Comment Text Char"/>
    <w:basedOn w:val="DefaultParagraphFont"/>
    <w:link w:val="CommentText"/>
    <w:uiPriority w:val="99"/>
    <w:semiHidden/>
    <w:rsid w:val="00BC3750"/>
    <w:rPr>
      <w:sz w:val="20"/>
      <w:szCs w:val="20"/>
    </w:rPr>
  </w:style>
  <w:style w:type="paragraph" w:styleId="CommentSubject">
    <w:name w:val="annotation subject"/>
    <w:basedOn w:val="CommentText"/>
    <w:next w:val="CommentText"/>
    <w:link w:val="CommentSubjectChar"/>
    <w:uiPriority w:val="99"/>
    <w:semiHidden/>
    <w:unhideWhenUsed/>
    <w:rsid w:val="00BC3750"/>
    <w:rPr>
      <w:b/>
      <w:bCs/>
    </w:rPr>
  </w:style>
  <w:style w:type="character" w:customStyle="1" w:styleId="CommentSubjectChar">
    <w:name w:val="Comment Subject Char"/>
    <w:basedOn w:val="CommentTextChar"/>
    <w:link w:val="CommentSubject"/>
    <w:uiPriority w:val="99"/>
    <w:semiHidden/>
    <w:rsid w:val="00BC3750"/>
    <w:rPr>
      <w:b/>
      <w:bCs/>
      <w:sz w:val="20"/>
      <w:szCs w:val="20"/>
    </w:rPr>
  </w:style>
  <w:style w:type="paragraph" w:styleId="EndnoteText">
    <w:name w:val="endnote text"/>
    <w:basedOn w:val="Normal"/>
    <w:link w:val="EndnoteTextChar"/>
    <w:uiPriority w:val="99"/>
    <w:semiHidden/>
    <w:unhideWhenUsed/>
    <w:rsid w:val="002133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3335"/>
    <w:rPr>
      <w:sz w:val="20"/>
      <w:szCs w:val="20"/>
    </w:rPr>
  </w:style>
  <w:style w:type="character" w:styleId="EndnoteReference">
    <w:name w:val="endnote reference"/>
    <w:basedOn w:val="DefaultParagraphFont"/>
    <w:uiPriority w:val="99"/>
    <w:semiHidden/>
    <w:unhideWhenUsed/>
    <w:rsid w:val="00213335"/>
    <w:rPr>
      <w:vertAlign w:val="superscript"/>
    </w:rPr>
  </w:style>
  <w:style w:type="character" w:styleId="Hyperlink">
    <w:name w:val="Hyperlink"/>
    <w:basedOn w:val="DefaultParagraphFont"/>
    <w:uiPriority w:val="99"/>
    <w:unhideWhenUsed/>
    <w:rsid w:val="00252D1A"/>
    <w:rPr>
      <w:color w:val="0563C1" w:themeColor="hyperlink"/>
      <w:u w:val="single"/>
    </w:rPr>
  </w:style>
  <w:style w:type="character" w:styleId="UnresolvedMention">
    <w:name w:val="Unresolved Mention"/>
    <w:basedOn w:val="DefaultParagraphFont"/>
    <w:uiPriority w:val="99"/>
    <w:semiHidden/>
    <w:unhideWhenUsed/>
    <w:rsid w:val="00252D1A"/>
    <w:rPr>
      <w:color w:val="605E5C"/>
      <w:shd w:val="clear" w:color="auto" w:fill="E1DFDD"/>
    </w:rPr>
  </w:style>
  <w:style w:type="character" w:customStyle="1" w:styleId="Heading2Char">
    <w:name w:val="Heading 2 Char"/>
    <w:basedOn w:val="DefaultParagraphFont"/>
    <w:link w:val="Heading2"/>
    <w:uiPriority w:val="9"/>
    <w:rsid w:val="008843AF"/>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161CD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A4D8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34C74"/>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651995"/>
    <w:pPr>
      <w:spacing w:after="0" w:line="240" w:lineRule="auto"/>
    </w:pPr>
    <w:rPr>
      <w:rFonts w:eastAsiaTheme="minorEastAsia"/>
    </w:rPr>
  </w:style>
  <w:style w:type="character" w:customStyle="1" w:styleId="NoSpacingChar">
    <w:name w:val="No Spacing Char"/>
    <w:basedOn w:val="DefaultParagraphFont"/>
    <w:link w:val="NoSpacing"/>
    <w:uiPriority w:val="1"/>
    <w:rsid w:val="00651995"/>
    <w:rPr>
      <w:rFonts w:eastAsiaTheme="minorEastAsia"/>
    </w:rPr>
  </w:style>
  <w:style w:type="paragraph" w:styleId="NormalWeb">
    <w:name w:val="Normal (Web)"/>
    <w:basedOn w:val="Normal"/>
    <w:uiPriority w:val="99"/>
    <w:semiHidden/>
    <w:unhideWhenUsed/>
    <w:rsid w:val="00C13A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7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5952">
      <w:bodyDiv w:val="1"/>
      <w:marLeft w:val="0"/>
      <w:marRight w:val="0"/>
      <w:marTop w:val="0"/>
      <w:marBottom w:val="0"/>
      <w:divBdr>
        <w:top w:val="none" w:sz="0" w:space="0" w:color="auto"/>
        <w:left w:val="none" w:sz="0" w:space="0" w:color="auto"/>
        <w:bottom w:val="none" w:sz="0" w:space="0" w:color="auto"/>
        <w:right w:val="none" w:sz="0" w:space="0" w:color="auto"/>
      </w:divBdr>
    </w:div>
    <w:div w:id="414520622">
      <w:bodyDiv w:val="1"/>
      <w:marLeft w:val="0"/>
      <w:marRight w:val="0"/>
      <w:marTop w:val="0"/>
      <w:marBottom w:val="0"/>
      <w:divBdr>
        <w:top w:val="none" w:sz="0" w:space="0" w:color="auto"/>
        <w:left w:val="none" w:sz="0" w:space="0" w:color="auto"/>
        <w:bottom w:val="none" w:sz="0" w:space="0" w:color="auto"/>
        <w:right w:val="none" w:sz="0" w:space="0" w:color="auto"/>
      </w:divBdr>
      <w:divsChild>
        <w:div w:id="1926959483">
          <w:marLeft w:val="1800"/>
          <w:marRight w:val="0"/>
          <w:marTop w:val="100"/>
          <w:marBottom w:val="0"/>
          <w:divBdr>
            <w:top w:val="none" w:sz="0" w:space="0" w:color="auto"/>
            <w:left w:val="none" w:sz="0" w:space="0" w:color="auto"/>
            <w:bottom w:val="none" w:sz="0" w:space="0" w:color="auto"/>
            <w:right w:val="none" w:sz="0" w:space="0" w:color="auto"/>
          </w:divBdr>
        </w:div>
        <w:div w:id="1199708721">
          <w:marLeft w:val="1800"/>
          <w:marRight w:val="0"/>
          <w:marTop w:val="100"/>
          <w:marBottom w:val="0"/>
          <w:divBdr>
            <w:top w:val="none" w:sz="0" w:space="0" w:color="auto"/>
            <w:left w:val="none" w:sz="0" w:space="0" w:color="auto"/>
            <w:bottom w:val="none" w:sz="0" w:space="0" w:color="auto"/>
            <w:right w:val="none" w:sz="0" w:space="0" w:color="auto"/>
          </w:divBdr>
        </w:div>
        <w:div w:id="941185568">
          <w:marLeft w:val="1800"/>
          <w:marRight w:val="0"/>
          <w:marTop w:val="100"/>
          <w:marBottom w:val="0"/>
          <w:divBdr>
            <w:top w:val="none" w:sz="0" w:space="0" w:color="auto"/>
            <w:left w:val="none" w:sz="0" w:space="0" w:color="auto"/>
            <w:bottom w:val="none" w:sz="0" w:space="0" w:color="auto"/>
            <w:right w:val="none" w:sz="0" w:space="0" w:color="auto"/>
          </w:divBdr>
        </w:div>
        <w:div w:id="1291059733">
          <w:marLeft w:val="1800"/>
          <w:marRight w:val="0"/>
          <w:marTop w:val="100"/>
          <w:marBottom w:val="0"/>
          <w:divBdr>
            <w:top w:val="none" w:sz="0" w:space="0" w:color="auto"/>
            <w:left w:val="none" w:sz="0" w:space="0" w:color="auto"/>
            <w:bottom w:val="none" w:sz="0" w:space="0" w:color="auto"/>
            <w:right w:val="none" w:sz="0" w:space="0" w:color="auto"/>
          </w:divBdr>
        </w:div>
        <w:div w:id="919827693">
          <w:marLeft w:val="1800"/>
          <w:marRight w:val="0"/>
          <w:marTop w:val="100"/>
          <w:marBottom w:val="0"/>
          <w:divBdr>
            <w:top w:val="none" w:sz="0" w:space="0" w:color="auto"/>
            <w:left w:val="none" w:sz="0" w:space="0" w:color="auto"/>
            <w:bottom w:val="none" w:sz="0" w:space="0" w:color="auto"/>
            <w:right w:val="none" w:sz="0" w:space="0" w:color="auto"/>
          </w:divBdr>
        </w:div>
        <w:div w:id="278269387">
          <w:marLeft w:val="1800"/>
          <w:marRight w:val="0"/>
          <w:marTop w:val="100"/>
          <w:marBottom w:val="0"/>
          <w:divBdr>
            <w:top w:val="none" w:sz="0" w:space="0" w:color="auto"/>
            <w:left w:val="none" w:sz="0" w:space="0" w:color="auto"/>
            <w:bottom w:val="none" w:sz="0" w:space="0" w:color="auto"/>
            <w:right w:val="none" w:sz="0" w:space="0" w:color="auto"/>
          </w:divBdr>
        </w:div>
        <w:div w:id="27221448">
          <w:marLeft w:val="1800"/>
          <w:marRight w:val="0"/>
          <w:marTop w:val="100"/>
          <w:marBottom w:val="0"/>
          <w:divBdr>
            <w:top w:val="none" w:sz="0" w:space="0" w:color="auto"/>
            <w:left w:val="none" w:sz="0" w:space="0" w:color="auto"/>
            <w:bottom w:val="none" w:sz="0" w:space="0" w:color="auto"/>
            <w:right w:val="none" w:sz="0" w:space="0" w:color="auto"/>
          </w:divBdr>
        </w:div>
        <w:div w:id="754009144">
          <w:marLeft w:val="360"/>
          <w:marRight w:val="0"/>
          <w:marTop w:val="200"/>
          <w:marBottom w:val="0"/>
          <w:divBdr>
            <w:top w:val="none" w:sz="0" w:space="0" w:color="auto"/>
            <w:left w:val="none" w:sz="0" w:space="0" w:color="auto"/>
            <w:bottom w:val="none" w:sz="0" w:space="0" w:color="auto"/>
            <w:right w:val="none" w:sz="0" w:space="0" w:color="auto"/>
          </w:divBdr>
        </w:div>
        <w:div w:id="240989215">
          <w:marLeft w:val="360"/>
          <w:marRight w:val="0"/>
          <w:marTop w:val="200"/>
          <w:marBottom w:val="0"/>
          <w:divBdr>
            <w:top w:val="none" w:sz="0" w:space="0" w:color="auto"/>
            <w:left w:val="none" w:sz="0" w:space="0" w:color="auto"/>
            <w:bottom w:val="none" w:sz="0" w:space="0" w:color="auto"/>
            <w:right w:val="none" w:sz="0" w:space="0" w:color="auto"/>
          </w:divBdr>
        </w:div>
      </w:divsChild>
    </w:div>
    <w:div w:id="667950707">
      <w:bodyDiv w:val="1"/>
      <w:marLeft w:val="0"/>
      <w:marRight w:val="0"/>
      <w:marTop w:val="0"/>
      <w:marBottom w:val="0"/>
      <w:divBdr>
        <w:top w:val="none" w:sz="0" w:space="0" w:color="auto"/>
        <w:left w:val="none" w:sz="0" w:space="0" w:color="auto"/>
        <w:bottom w:val="none" w:sz="0" w:space="0" w:color="auto"/>
        <w:right w:val="none" w:sz="0" w:space="0" w:color="auto"/>
      </w:divBdr>
      <w:divsChild>
        <w:div w:id="2111586129">
          <w:marLeft w:val="547"/>
          <w:marRight w:val="0"/>
          <w:marTop w:val="0"/>
          <w:marBottom w:val="0"/>
          <w:divBdr>
            <w:top w:val="none" w:sz="0" w:space="0" w:color="auto"/>
            <w:left w:val="none" w:sz="0" w:space="0" w:color="auto"/>
            <w:bottom w:val="none" w:sz="0" w:space="0" w:color="auto"/>
            <w:right w:val="none" w:sz="0" w:space="0" w:color="auto"/>
          </w:divBdr>
        </w:div>
      </w:divsChild>
    </w:div>
    <w:div w:id="793401770">
      <w:bodyDiv w:val="1"/>
      <w:marLeft w:val="0"/>
      <w:marRight w:val="0"/>
      <w:marTop w:val="0"/>
      <w:marBottom w:val="0"/>
      <w:divBdr>
        <w:top w:val="none" w:sz="0" w:space="0" w:color="auto"/>
        <w:left w:val="none" w:sz="0" w:space="0" w:color="auto"/>
        <w:bottom w:val="none" w:sz="0" w:space="0" w:color="auto"/>
        <w:right w:val="none" w:sz="0" w:space="0" w:color="auto"/>
      </w:divBdr>
      <w:divsChild>
        <w:div w:id="1839349481">
          <w:marLeft w:val="1080"/>
          <w:marRight w:val="0"/>
          <w:marTop w:val="100"/>
          <w:marBottom w:val="0"/>
          <w:divBdr>
            <w:top w:val="none" w:sz="0" w:space="0" w:color="auto"/>
            <w:left w:val="none" w:sz="0" w:space="0" w:color="auto"/>
            <w:bottom w:val="none" w:sz="0" w:space="0" w:color="auto"/>
            <w:right w:val="none" w:sz="0" w:space="0" w:color="auto"/>
          </w:divBdr>
        </w:div>
        <w:div w:id="1030112684">
          <w:marLeft w:val="1800"/>
          <w:marRight w:val="0"/>
          <w:marTop w:val="100"/>
          <w:marBottom w:val="0"/>
          <w:divBdr>
            <w:top w:val="none" w:sz="0" w:space="0" w:color="auto"/>
            <w:left w:val="none" w:sz="0" w:space="0" w:color="auto"/>
            <w:bottom w:val="none" w:sz="0" w:space="0" w:color="auto"/>
            <w:right w:val="none" w:sz="0" w:space="0" w:color="auto"/>
          </w:divBdr>
        </w:div>
        <w:div w:id="185407139">
          <w:marLeft w:val="1080"/>
          <w:marRight w:val="0"/>
          <w:marTop w:val="100"/>
          <w:marBottom w:val="0"/>
          <w:divBdr>
            <w:top w:val="none" w:sz="0" w:space="0" w:color="auto"/>
            <w:left w:val="none" w:sz="0" w:space="0" w:color="auto"/>
            <w:bottom w:val="none" w:sz="0" w:space="0" w:color="auto"/>
            <w:right w:val="none" w:sz="0" w:space="0" w:color="auto"/>
          </w:divBdr>
        </w:div>
        <w:div w:id="1247691238">
          <w:marLeft w:val="1080"/>
          <w:marRight w:val="0"/>
          <w:marTop w:val="100"/>
          <w:marBottom w:val="0"/>
          <w:divBdr>
            <w:top w:val="none" w:sz="0" w:space="0" w:color="auto"/>
            <w:left w:val="none" w:sz="0" w:space="0" w:color="auto"/>
            <w:bottom w:val="none" w:sz="0" w:space="0" w:color="auto"/>
            <w:right w:val="none" w:sz="0" w:space="0" w:color="auto"/>
          </w:divBdr>
        </w:div>
      </w:divsChild>
    </w:div>
    <w:div w:id="801919766">
      <w:bodyDiv w:val="1"/>
      <w:marLeft w:val="0"/>
      <w:marRight w:val="0"/>
      <w:marTop w:val="0"/>
      <w:marBottom w:val="0"/>
      <w:divBdr>
        <w:top w:val="none" w:sz="0" w:space="0" w:color="auto"/>
        <w:left w:val="none" w:sz="0" w:space="0" w:color="auto"/>
        <w:bottom w:val="none" w:sz="0" w:space="0" w:color="auto"/>
        <w:right w:val="none" w:sz="0" w:space="0" w:color="auto"/>
      </w:divBdr>
    </w:div>
    <w:div w:id="833568093">
      <w:bodyDiv w:val="1"/>
      <w:marLeft w:val="0"/>
      <w:marRight w:val="0"/>
      <w:marTop w:val="0"/>
      <w:marBottom w:val="0"/>
      <w:divBdr>
        <w:top w:val="none" w:sz="0" w:space="0" w:color="auto"/>
        <w:left w:val="none" w:sz="0" w:space="0" w:color="auto"/>
        <w:bottom w:val="none" w:sz="0" w:space="0" w:color="auto"/>
        <w:right w:val="none" w:sz="0" w:space="0" w:color="auto"/>
      </w:divBdr>
    </w:div>
    <w:div w:id="1045642757">
      <w:bodyDiv w:val="1"/>
      <w:marLeft w:val="0"/>
      <w:marRight w:val="0"/>
      <w:marTop w:val="0"/>
      <w:marBottom w:val="0"/>
      <w:divBdr>
        <w:top w:val="none" w:sz="0" w:space="0" w:color="auto"/>
        <w:left w:val="none" w:sz="0" w:space="0" w:color="auto"/>
        <w:bottom w:val="none" w:sz="0" w:space="0" w:color="auto"/>
        <w:right w:val="none" w:sz="0" w:space="0" w:color="auto"/>
      </w:divBdr>
    </w:div>
    <w:div w:id="1149830911">
      <w:bodyDiv w:val="1"/>
      <w:marLeft w:val="0"/>
      <w:marRight w:val="0"/>
      <w:marTop w:val="0"/>
      <w:marBottom w:val="0"/>
      <w:divBdr>
        <w:top w:val="none" w:sz="0" w:space="0" w:color="auto"/>
        <w:left w:val="none" w:sz="0" w:space="0" w:color="auto"/>
        <w:bottom w:val="none" w:sz="0" w:space="0" w:color="auto"/>
        <w:right w:val="none" w:sz="0" w:space="0" w:color="auto"/>
      </w:divBdr>
    </w:div>
    <w:div w:id="1179197834">
      <w:bodyDiv w:val="1"/>
      <w:marLeft w:val="0"/>
      <w:marRight w:val="0"/>
      <w:marTop w:val="0"/>
      <w:marBottom w:val="0"/>
      <w:divBdr>
        <w:top w:val="none" w:sz="0" w:space="0" w:color="auto"/>
        <w:left w:val="none" w:sz="0" w:space="0" w:color="auto"/>
        <w:bottom w:val="none" w:sz="0" w:space="0" w:color="auto"/>
        <w:right w:val="none" w:sz="0" w:space="0" w:color="auto"/>
      </w:divBdr>
    </w:div>
    <w:div w:id="1438401251">
      <w:bodyDiv w:val="1"/>
      <w:marLeft w:val="0"/>
      <w:marRight w:val="0"/>
      <w:marTop w:val="0"/>
      <w:marBottom w:val="0"/>
      <w:divBdr>
        <w:top w:val="none" w:sz="0" w:space="0" w:color="auto"/>
        <w:left w:val="none" w:sz="0" w:space="0" w:color="auto"/>
        <w:bottom w:val="none" w:sz="0" w:space="0" w:color="auto"/>
        <w:right w:val="none" w:sz="0" w:space="0" w:color="auto"/>
      </w:divBdr>
      <w:divsChild>
        <w:div w:id="1088769242">
          <w:marLeft w:val="360"/>
          <w:marRight w:val="0"/>
          <w:marTop w:val="200"/>
          <w:marBottom w:val="0"/>
          <w:divBdr>
            <w:top w:val="none" w:sz="0" w:space="0" w:color="auto"/>
            <w:left w:val="none" w:sz="0" w:space="0" w:color="auto"/>
            <w:bottom w:val="none" w:sz="0" w:space="0" w:color="auto"/>
            <w:right w:val="none" w:sz="0" w:space="0" w:color="auto"/>
          </w:divBdr>
        </w:div>
      </w:divsChild>
    </w:div>
    <w:div w:id="1538273154">
      <w:bodyDiv w:val="1"/>
      <w:marLeft w:val="0"/>
      <w:marRight w:val="0"/>
      <w:marTop w:val="0"/>
      <w:marBottom w:val="0"/>
      <w:divBdr>
        <w:top w:val="none" w:sz="0" w:space="0" w:color="auto"/>
        <w:left w:val="none" w:sz="0" w:space="0" w:color="auto"/>
        <w:bottom w:val="none" w:sz="0" w:space="0" w:color="auto"/>
        <w:right w:val="none" w:sz="0" w:space="0" w:color="auto"/>
      </w:divBdr>
    </w:div>
    <w:div w:id="1637221252">
      <w:bodyDiv w:val="1"/>
      <w:marLeft w:val="0"/>
      <w:marRight w:val="0"/>
      <w:marTop w:val="0"/>
      <w:marBottom w:val="0"/>
      <w:divBdr>
        <w:top w:val="none" w:sz="0" w:space="0" w:color="auto"/>
        <w:left w:val="none" w:sz="0" w:space="0" w:color="auto"/>
        <w:bottom w:val="none" w:sz="0" w:space="0" w:color="auto"/>
        <w:right w:val="none" w:sz="0" w:space="0" w:color="auto"/>
      </w:divBdr>
      <w:divsChild>
        <w:div w:id="15431461">
          <w:marLeft w:val="360"/>
          <w:marRight w:val="0"/>
          <w:marTop w:val="200"/>
          <w:marBottom w:val="0"/>
          <w:divBdr>
            <w:top w:val="none" w:sz="0" w:space="0" w:color="auto"/>
            <w:left w:val="none" w:sz="0" w:space="0" w:color="auto"/>
            <w:bottom w:val="none" w:sz="0" w:space="0" w:color="auto"/>
            <w:right w:val="none" w:sz="0" w:space="0" w:color="auto"/>
          </w:divBdr>
        </w:div>
      </w:divsChild>
    </w:div>
    <w:div w:id="1662007734">
      <w:bodyDiv w:val="1"/>
      <w:marLeft w:val="0"/>
      <w:marRight w:val="0"/>
      <w:marTop w:val="0"/>
      <w:marBottom w:val="0"/>
      <w:divBdr>
        <w:top w:val="none" w:sz="0" w:space="0" w:color="auto"/>
        <w:left w:val="none" w:sz="0" w:space="0" w:color="auto"/>
        <w:bottom w:val="none" w:sz="0" w:space="0" w:color="auto"/>
        <w:right w:val="none" w:sz="0" w:space="0" w:color="auto"/>
      </w:divBdr>
      <w:divsChild>
        <w:div w:id="1068724872">
          <w:marLeft w:val="547"/>
          <w:marRight w:val="0"/>
          <w:marTop w:val="0"/>
          <w:marBottom w:val="0"/>
          <w:divBdr>
            <w:top w:val="none" w:sz="0" w:space="0" w:color="auto"/>
            <w:left w:val="none" w:sz="0" w:space="0" w:color="auto"/>
            <w:bottom w:val="none" w:sz="0" w:space="0" w:color="auto"/>
            <w:right w:val="none" w:sz="0" w:space="0" w:color="auto"/>
          </w:divBdr>
        </w:div>
      </w:divsChild>
    </w:div>
    <w:div w:id="1741639864">
      <w:bodyDiv w:val="1"/>
      <w:marLeft w:val="0"/>
      <w:marRight w:val="0"/>
      <w:marTop w:val="0"/>
      <w:marBottom w:val="0"/>
      <w:divBdr>
        <w:top w:val="none" w:sz="0" w:space="0" w:color="auto"/>
        <w:left w:val="none" w:sz="0" w:space="0" w:color="auto"/>
        <w:bottom w:val="none" w:sz="0" w:space="0" w:color="auto"/>
        <w:right w:val="none" w:sz="0" w:space="0" w:color="auto"/>
      </w:divBdr>
      <w:divsChild>
        <w:div w:id="1911652004">
          <w:marLeft w:val="1080"/>
          <w:marRight w:val="0"/>
          <w:marTop w:val="100"/>
          <w:marBottom w:val="0"/>
          <w:divBdr>
            <w:top w:val="none" w:sz="0" w:space="0" w:color="auto"/>
            <w:left w:val="none" w:sz="0" w:space="0" w:color="auto"/>
            <w:bottom w:val="none" w:sz="0" w:space="0" w:color="auto"/>
            <w:right w:val="none" w:sz="0" w:space="0" w:color="auto"/>
          </w:divBdr>
        </w:div>
        <w:div w:id="1934050960">
          <w:marLeft w:val="1080"/>
          <w:marRight w:val="0"/>
          <w:marTop w:val="100"/>
          <w:marBottom w:val="0"/>
          <w:divBdr>
            <w:top w:val="none" w:sz="0" w:space="0" w:color="auto"/>
            <w:left w:val="none" w:sz="0" w:space="0" w:color="auto"/>
            <w:bottom w:val="none" w:sz="0" w:space="0" w:color="auto"/>
            <w:right w:val="none" w:sz="0" w:space="0" w:color="auto"/>
          </w:divBdr>
        </w:div>
        <w:div w:id="407965878">
          <w:marLeft w:val="1080"/>
          <w:marRight w:val="0"/>
          <w:marTop w:val="100"/>
          <w:marBottom w:val="0"/>
          <w:divBdr>
            <w:top w:val="none" w:sz="0" w:space="0" w:color="auto"/>
            <w:left w:val="none" w:sz="0" w:space="0" w:color="auto"/>
            <w:bottom w:val="none" w:sz="0" w:space="0" w:color="auto"/>
            <w:right w:val="none" w:sz="0" w:space="0" w:color="auto"/>
          </w:divBdr>
        </w:div>
        <w:div w:id="1357655430">
          <w:marLeft w:val="1080"/>
          <w:marRight w:val="0"/>
          <w:marTop w:val="100"/>
          <w:marBottom w:val="0"/>
          <w:divBdr>
            <w:top w:val="none" w:sz="0" w:space="0" w:color="auto"/>
            <w:left w:val="none" w:sz="0" w:space="0" w:color="auto"/>
            <w:bottom w:val="none" w:sz="0" w:space="0" w:color="auto"/>
            <w:right w:val="none" w:sz="0" w:space="0" w:color="auto"/>
          </w:divBdr>
        </w:div>
        <w:div w:id="960956648">
          <w:marLeft w:val="1080"/>
          <w:marRight w:val="0"/>
          <w:marTop w:val="100"/>
          <w:marBottom w:val="0"/>
          <w:divBdr>
            <w:top w:val="none" w:sz="0" w:space="0" w:color="auto"/>
            <w:left w:val="none" w:sz="0" w:space="0" w:color="auto"/>
            <w:bottom w:val="none" w:sz="0" w:space="0" w:color="auto"/>
            <w:right w:val="none" w:sz="0" w:space="0" w:color="auto"/>
          </w:divBdr>
        </w:div>
        <w:div w:id="652874884">
          <w:marLeft w:val="1080"/>
          <w:marRight w:val="0"/>
          <w:marTop w:val="100"/>
          <w:marBottom w:val="0"/>
          <w:divBdr>
            <w:top w:val="none" w:sz="0" w:space="0" w:color="auto"/>
            <w:left w:val="none" w:sz="0" w:space="0" w:color="auto"/>
            <w:bottom w:val="none" w:sz="0" w:space="0" w:color="auto"/>
            <w:right w:val="none" w:sz="0" w:space="0" w:color="auto"/>
          </w:divBdr>
        </w:div>
        <w:div w:id="2141145426">
          <w:marLeft w:val="1080"/>
          <w:marRight w:val="0"/>
          <w:marTop w:val="100"/>
          <w:marBottom w:val="0"/>
          <w:divBdr>
            <w:top w:val="none" w:sz="0" w:space="0" w:color="auto"/>
            <w:left w:val="none" w:sz="0" w:space="0" w:color="auto"/>
            <w:bottom w:val="none" w:sz="0" w:space="0" w:color="auto"/>
            <w:right w:val="none" w:sz="0" w:space="0" w:color="auto"/>
          </w:divBdr>
        </w:div>
      </w:divsChild>
    </w:div>
    <w:div w:id="1765883941">
      <w:bodyDiv w:val="1"/>
      <w:marLeft w:val="0"/>
      <w:marRight w:val="0"/>
      <w:marTop w:val="0"/>
      <w:marBottom w:val="0"/>
      <w:divBdr>
        <w:top w:val="none" w:sz="0" w:space="0" w:color="auto"/>
        <w:left w:val="none" w:sz="0" w:space="0" w:color="auto"/>
        <w:bottom w:val="none" w:sz="0" w:space="0" w:color="auto"/>
        <w:right w:val="none" w:sz="0" w:space="0" w:color="auto"/>
      </w:divBdr>
      <w:divsChild>
        <w:div w:id="408618411">
          <w:marLeft w:val="1080"/>
          <w:marRight w:val="0"/>
          <w:marTop w:val="100"/>
          <w:marBottom w:val="0"/>
          <w:divBdr>
            <w:top w:val="none" w:sz="0" w:space="0" w:color="auto"/>
            <w:left w:val="none" w:sz="0" w:space="0" w:color="auto"/>
            <w:bottom w:val="none" w:sz="0" w:space="0" w:color="auto"/>
            <w:right w:val="none" w:sz="0" w:space="0" w:color="auto"/>
          </w:divBdr>
        </w:div>
        <w:div w:id="758253994">
          <w:marLeft w:val="1080"/>
          <w:marRight w:val="0"/>
          <w:marTop w:val="100"/>
          <w:marBottom w:val="0"/>
          <w:divBdr>
            <w:top w:val="none" w:sz="0" w:space="0" w:color="auto"/>
            <w:left w:val="none" w:sz="0" w:space="0" w:color="auto"/>
            <w:bottom w:val="none" w:sz="0" w:space="0" w:color="auto"/>
            <w:right w:val="none" w:sz="0" w:space="0" w:color="auto"/>
          </w:divBdr>
        </w:div>
        <w:div w:id="925192816">
          <w:marLeft w:val="1080"/>
          <w:marRight w:val="0"/>
          <w:marTop w:val="100"/>
          <w:marBottom w:val="0"/>
          <w:divBdr>
            <w:top w:val="none" w:sz="0" w:space="0" w:color="auto"/>
            <w:left w:val="none" w:sz="0" w:space="0" w:color="auto"/>
            <w:bottom w:val="none" w:sz="0" w:space="0" w:color="auto"/>
            <w:right w:val="none" w:sz="0" w:space="0" w:color="auto"/>
          </w:divBdr>
        </w:div>
        <w:div w:id="2054309239">
          <w:marLeft w:val="1080"/>
          <w:marRight w:val="0"/>
          <w:marTop w:val="100"/>
          <w:marBottom w:val="0"/>
          <w:divBdr>
            <w:top w:val="none" w:sz="0" w:space="0" w:color="auto"/>
            <w:left w:val="none" w:sz="0" w:space="0" w:color="auto"/>
            <w:bottom w:val="none" w:sz="0" w:space="0" w:color="auto"/>
            <w:right w:val="none" w:sz="0" w:space="0" w:color="auto"/>
          </w:divBdr>
        </w:div>
        <w:div w:id="1536039541">
          <w:marLeft w:val="1080"/>
          <w:marRight w:val="0"/>
          <w:marTop w:val="100"/>
          <w:marBottom w:val="0"/>
          <w:divBdr>
            <w:top w:val="none" w:sz="0" w:space="0" w:color="auto"/>
            <w:left w:val="none" w:sz="0" w:space="0" w:color="auto"/>
            <w:bottom w:val="none" w:sz="0" w:space="0" w:color="auto"/>
            <w:right w:val="none" w:sz="0" w:space="0" w:color="auto"/>
          </w:divBdr>
        </w:div>
        <w:div w:id="362480553">
          <w:marLeft w:val="1080"/>
          <w:marRight w:val="0"/>
          <w:marTop w:val="100"/>
          <w:marBottom w:val="0"/>
          <w:divBdr>
            <w:top w:val="none" w:sz="0" w:space="0" w:color="auto"/>
            <w:left w:val="none" w:sz="0" w:space="0" w:color="auto"/>
            <w:bottom w:val="none" w:sz="0" w:space="0" w:color="auto"/>
            <w:right w:val="none" w:sz="0" w:space="0" w:color="auto"/>
          </w:divBdr>
        </w:div>
        <w:div w:id="1682389239">
          <w:marLeft w:val="360"/>
          <w:marRight w:val="0"/>
          <w:marTop w:val="200"/>
          <w:marBottom w:val="0"/>
          <w:divBdr>
            <w:top w:val="none" w:sz="0" w:space="0" w:color="auto"/>
            <w:left w:val="none" w:sz="0" w:space="0" w:color="auto"/>
            <w:bottom w:val="none" w:sz="0" w:space="0" w:color="auto"/>
            <w:right w:val="none" w:sz="0" w:space="0" w:color="auto"/>
          </w:divBdr>
        </w:div>
      </w:divsChild>
    </w:div>
    <w:div w:id="1983390357">
      <w:bodyDiv w:val="1"/>
      <w:marLeft w:val="0"/>
      <w:marRight w:val="0"/>
      <w:marTop w:val="0"/>
      <w:marBottom w:val="0"/>
      <w:divBdr>
        <w:top w:val="none" w:sz="0" w:space="0" w:color="auto"/>
        <w:left w:val="none" w:sz="0" w:space="0" w:color="auto"/>
        <w:bottom w:val="none" w:sz="0" w:space="0" w:color="auto"/>
        <w:right w:val="none" w:sz="0" w:space="0" w:color="auto"/>
      </w:divBdr>
      <w:divsChild>
        <w:div w:id="208809571">
          <w:marLeft w:val="1080"/>
          <w:marRight w:val="0"/>
          <w:marTop w:val="100"/>
          <w:marBottom w:val="0"/>
          <w:divBdr>
            <w:top w:val="none" w:sz="0" w:space="0" w:color="auto"/>
            <w:left w:val="none" w:sz="0" w:space="0" w:color="auto"/>
            <w:bottom w:val="none" w:sz="0" w:space="0" w:color="auto"/>
            <w:right w:val="none" w:sz="0" w:space="0" w:color="auto"/>
          </w:divBdr>
        </w:div>
        <w:div w:id="1553928393">
          <w:marLeft w:val="1080"/>
          <w:marRight w:val="0"/>
          <w:marTop w:val="100"/>
          <w:marBottom w:val="0"/>
          <w:divBdr>
            <w:top w:val="none" w:sz="0" w:space="0" w:color="auto"/>
            <w:left w:val="none" w:sz="0" w:space="0" w:color="auto"/>
            <w:bottom w:val="none" w:sz="0" w:space="0" w:color="auto"/>
            <w:right w:val="none" w:sz="0" w:space="0" w:color="auto"/>
          </w:divBdr>
        </w:div>
      </w:divsChild>
    </w:div>
    <w:div w:id="2064980602">
      <w:bodyDiv w:val="1"/>
      <w:marLeft w:val="0"/>
      <w:marRight w:val="0"/>
      <w:marTop w:val="0"/>
      <w:marBottom w:val="0"/>
      <w:divBdr>
        <w:top w:val="none" w:sz="0" w:space="0" w:color="auto"/>
        <w:left w:val="none" w:sz="0" w:space="0" w:color="auto"/>
        <w:bottom w:val="none" w:sz="0" w:space="0" w:color="auto"/>
        <w:right w:val="none" w:sz="0" w:space="0" w:color="auto"/>
      </w:divBdr>
      <w:divsChild>
        <w:div w:id="1894121713">
          <w:marLeft w:val="1080"/>
          <w:marRight w:val="0"/>
          <w:marTop w:val="100"/>
          <w:marBottom w:val="0"/>
          <w:divBdr>
            <w:top w:val="none" w:sz="0" w:space="0" w:color="auto"/>
            <w:left w:val="none" w:sz="0" w:space="0" w:color="auto"/>
            <w:bottom w:val="none" w:sz="0" w:space="0" w:color="auto"/>
            <w:right w:val="none" w:sz="0" w:space="0" w:color="auto"/>
          </w:divBdr>
        </w:div>
        <w:div w:id="154147573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and-Systems/Statistics-Trends-and-Reports/NationalHealthExpendData/NationalHealthAccountsProjected" TargetMode="External"/><Relationship Id="rId13" Type="http://schemas.microsoft.com/office/2007/relationships/diagramDrawing" Target="diagrams/drawing1.xml"/><Relationship Id="rId18" Type="http://schemas.openxmlformats.org/officeDocument/2006/relationships/hyperlink" Target="https://oversight.house.gov/news/repor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pensecrets.org/industries/lobbying.php?cycle=2020&amp;ind=H4300"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iercepharma.com/author/kyle-blankensh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ercepharma.com/author/kyle-blankenshi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nance.senate.gov/imo/media/doc/Grassley-Wyden%20Insulin%20Report%20(FINAL%201).pdf" TargetMode="External"/><Relationship Id="rId23" Type="http://schemas.openxmlformats.org/officeDocument/2006/relationships/hyperlink" Target="https://www.drugchannels.net/2021/03/how-goodrxs-rapid-growth-creates.html" TargetMode="External"/><Relationship Id="rId10" Type="http://schemas.openxmlformats.org/officeDocument/2006/relationships/diagramLayout" Target="diagrams/layout1.xml"/><Relationship Id="rId19" Type="http://schemas.openxmlformats.org/officeDocument/2006/relationships/hyperlink" Target="https://oversight.house.gov/sites/democrats.oversight.house.gov/files/Amgen%20Staff%20Report%2010-1-20.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n.neurology.org/content/early/2021/02/16/WNL.0000000000011712" TargetMode="External"/><Relationship Id="rId22" Type="http://schemas.openxmlformats.org/officeDocument/2006/relationships/hyperlink" Target="https://khn.org/patient-advocac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hip.org/your-health-care-dollar-new-ahip-analysis-shows-where-it-go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E46950-B909-4E86-98D6-53B474F47F7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322DD45B-7154-4C87-974C-1B7C4B86CFE6}">
      <dgm:prSet phldrT="[Text]" custT="1"/>
      <dgm:spPr>
        <a:solidFill>
          <a:srgbClr val="CC0000"/>
        </a:solidFill>
      </dgm:spPr>
      <dgm:t>
        <a:bodyPr/>
        <a:lstStyle/>
        <a:p>
          <a:pPr algn="ctr"/>
          <a:r>
            <a:rPr lang="en-US" sz="2000"/>
            <a:t>Unlimited Mfr Ability to Price</a:t>
          </a:r>
          <a:endParaRPr lang="en-US" sz="2000" dirty="0"/>
        </a:p>
      </dgm:t>
    </dgm:pt>
    <dgm:pt modelId="{85FB7A0B-A159-4466-83D8-F6CB30EB4F0D}" type="parTrans" cxnId="{3A4C7F57-A8A3-47E5-921A-0BC2726CFEF3}">
      <dgm:prSet/>
      <dgm:spPr/>
      <dgm:t>
        <a:bodyPr/>
        <a:lstStyle/>
        <a:p>
          <a:pPr algn="ctr"/>
          <a:endParaRPr lang="en-US"/>
        </a:p>
      </dgm:t>
    </dgm:pt>
    <dgm:pt modelId="{E2FB8157-8563-47E6-9C9C-97EEEF2DEE8E}" type="sibTrans" cxnId="{3A4C7F57-A8A3-47E5-921A-0BC2726CFEF3}">
      <dgm:prSet/>
      <dgm:spPr/>
      <dgm:t>
        <a:bodyPr/>
        <a:lstStyle/>
        <a:p>
          <a:pPr algn="ctr"/>
          <a:endParaRPr lang="en-US"/>
        </a:p>
      </dgm:t>
    </dgm:pt>
    <dgm:pt modelId="{F24C4D40-861B-4D43-9BEC-DC38056CF18E}">
      <dgm:prSet phldrT="[Text]" custT="1"/>
      <dgm:spPr>
        <a:solidFill>
          <a:srgbClr val="9966FF"/>
        </a:solidFill>
      </dgm:spPr>
      <dgm:t>
        <a:bodyPr/>
        <a:lstStyle/>
        <a:p>
          <a:pPr algn="ctr"/>
          <a:r>
            <a:rPr lang="en-US" sz="1500" dirty="0" err="1"/>
            <a:t>Mfr</a:t>
          </a:r>
          <a:r>
            <a:rPr lang="en-US" sz="1500" dirty="0"/>
            <a:t> Move to Rare and “small population” diseases</a:t>
          </a:r>
        </a:p>
      </dgm:t>
    </dgm:pt>
    <dgm:pt modelId="{F3477619-270B-43A9-9FA3-FEC7BC4010FB}" type="parTrans" cxnId="{C63D08C2-FF59-4421-B2B0-29BB73D44922}">
      <dgm:prSet/>
      <dgm:spPr/>
      <dgm:t>
        <a:bodyPr/>
        <a:lstStyle/>
        <a:p>
          <a:pPr algn="ctr"/>
          <a:endParaRPr lang="en-US"/>
        </a:p>
      </dgm:t>
    </dgm:pt>
    <dgm:pt modelId="{85B53694-7819-4E21-B4D8-61AFB0C483B6}" type="sibTrans" cxnId="{C63D08C2-FF59-4421-B2B0-29BB73D44922}">
      <dgm:prSet/>
      <dgm:spPr/>
      <dgm:t>
        <a:bodyPr/>
        <a:lstStyle/>
        <a:p>
          <a:pPr algn="ctr"/>
          <a:endParaRPr lang="en-US"/>
        </a:p>
      </dgm:t>
    </dgm:pt>
    <dgm:pt modelId="{D83452F3-5A26-4981-A27A-ED0A81D3C702}">
      <dgm:prSet phldrT="[Text]"/>
      <dgm:spPr>
        <a:solidFill>
          <a:srgbClr val="FF0066"/>
        </a:solidFill>
      </dgm:spPr>
      <dgm:t>
        <a:bodyPr/>
        <a:lstStyle/>
        <a:p>
          <a:pPr algn="ctr"/>
          <a:r>
            <a:rPr lang="en-US"/>
            <a:t>Patient Treatment Advocacy</a:t>
          </a:r>
          <a:endParaRPr lang="en-US" dirty="0"/>
        </a:p>
      </dgm:t>
    </dgm:pt>
    <dgm:pt modelId="{506307EC-BEC8-4686-960F-D46742E09A04}" type="parTrans" cxnId="{7EBB771A-F82D-49B1-94B9-E6F22F5C5CC9}">
      <dgm:prSet/>
      <dgm:spPr/>
      <dgm:t>
        <a:bodyPr/>
        <a:lstStyle/>
        <a:p>
          <a:pPr algn="ctr"/>
          <a:endParaRPr lang="en-US"/>
        </a:p>
      </dgm:t>
    </dgm:pt>
    <dgm:pt modelId="{15F0F187-A722-45B4-A277-4FA3CA5E8C24}" type="sibTrans" cxnId="{7EBB771A-F82D-49B1-94B9-E6F22F5C5CC9}">
      <dgm:prSet/>
      <dgm:spPr/>
      <dgm:t>
        <a:bodyPr/>
        <a:lstStyle/>
        <a:p>
          <a:pPr algn="ctr"/>
          <a:endParaRPr lang="en-US"/>
        </a:p>
      </dgm:t>
    </dgm:pt>
    <dgm:pt modelId="{A84BF925-C201-4F00-B281-D606057928A2}">
      <dgm:prSet phldrT="[Text]"/>
      <dgm:spPr>
        <a:solidFill>
          <a:srgbClr val="3399FF"/>
        </a:solidFill>
      </dgm:spPr>
      <dgm:t>
        <a:bodyPr/>
        <a:lstStyle/>
        <a:p>
          <a:pPr algn="ctr"/>
          <a:r>
            <a:rPr lang="en-US"/>
            <a:t>Insurer Inability to Control Costs</a:t>
          </a:r>
          <a:endParaRPr lang="en-US" dirty="0"/>
        </a:p>
      </dgm:t>
    </dgm:pt>
    <dgm:pt modelId="{0E651B4D-DF7A-4425-8BC8-3FF02E25043D}" type="parTrans" cxnId="{79A3AEC4-C020-496E-86DF-F9E03DDC767D}">
      <dgm:prSet/>
      <dgm:spPr/>
      <dgm:t>
        <a:bodyPr/>
        <a:lstStyle/>
        <a:p>
          <a:pPr algn="ctr"/>
          <a:endParaRPr lang="en-US"/>
        </a:p>
      </dgm:t>
    </dgm:pt>
    <dgm:pt modelId="{0E469C0D-B225-46AC-8EB6-217B5B95ED76}" type="sibTrans" cxnId="{79A3AEC4-C020-496E-86DF-F9E03DDC767D}">
      <dgm:prSet/>
      <dgm:spPr/>
      <dgm:t>
        <a:bodyPr/>
        <a:lstStyle/>
        <a:p>
          <a:pPr algn="ctr"/>
          <a:endParaRPr lang="en-US"/>
        </a:p>
      </dgm:t>
    </dgm:pt>
    <dgm:pt modelId="{D475E932-9F60-4A86-8D39-1F04B8B237D4}">
      <dgm:prSet custT="1"/>
      <dgm:spPr>
        <a:solidFill>
          <a:srgbClr val="CC66FF"/>
        </a:solidFill>
      </dgm:spPr>
      <dgm:t>
        <a:bodyPr/>
        <a:lstStyle/>
        <a:p>
          <a:pPr algn="ctr"/>
          <a:r>
            <a:rPr lang="en-US" sz="1500"/>
            <a:t>Mfr focus on shareholder &amp; stock price</a:t>
          </a:r>
          <a:endParaRPr lang="en-US" sz="1500" dirty="0"/>
        </a:p>
      </dgm:t>
    </dgm:pt>
    <dgm:pt modelId="{E769C787-4750-444E-AC52-7354F870D863}" type="parTrans" cxnId="{74C0DDF6-9ADA-464B-91FB-380AFF521FFA}">
      <dgm:prSet/>
      <dgm:spPr/>
      <dgm:t>
        <a:bodyPr/>
        <a:lstStyle/>
        <a:p>
          <a:pPr algn="ctr"/>
          <a:endParaRPr lang="en-US"/>
        </a:p>
      </dgm:t>
    </dgm:pt>
    <dgm:pt modelId="{DB2A0E0B-8E70-4EF6-9318-132FC9ECEF22}" type="sibTrans" cxnId="{74C0DDF6-9ADA-464B-91FB-380AFF521FFA}">
      <dgm:prSet/>
      <dgm:spPr/>
      <dgm:t>
        <a:bodyPr/>
        <a:lstStyle/>
        <a:p>
          <a:pPr algn="ctr"/>
          <a:endParaRPr lang="en-US"/>
        </a:p>
      </dgm:t>
    </dgm:pt>
    <dgm:pt modelId="{23830A4D-6A67-4763-B751-D9611A1DCC04}">
      <dgm:prSet custT="1"/>
      <dgm:spPr>
        <a:solidFill>
          <a:srgbClr val="FF9900"/>
        </a:solidFill>
      </dgm:spPr>
      <dgm:t>
        <a:bodyPr/>
        <a:lstStyle/>
        <a:p>
          <a:pPr algn="ctr"/>
          <a:r>
            <a:rPr lang="en-US" sz="1500"/>
            <a:t>Mfr profits from price &amp; price increase, not volume</a:t>
          </a:r>
          <a:endParaRPr lang="en-US" sz="1500" dirty="0"/>
        </a:p>
      </dgm:t>
    </dgm:pt>
    <dgm:pt modelId="{BE64467D-BFF9-421E-9DE6-FC8EFA9F1E36}" type="parTrans" cxnId="{59E8C818-29A4-4CA0-911A-AB85C2E6F990}">
      <dgm:prSet/>
      <dgm:spPr/>
      <dgm:t>
        <a:bodyPr/>
        <a:lstStyle/>
        <a:p>
          <a:pPr algn="ctr"/>
          <a:endParaRPr lang="en-US"/>
        </a:p>
      </dgm:t>
    </dgm:pt>
    <dgm:pt modelId="{B4D6B0DE-2FE5-4B61-9F84-A34ECC87B634}" type="sibTrans" cxnId="{59E8C818-29A4-4CA0-911A-AB85C2E6F990}">
      <dgm:prSet/>
      <dgm:spPr/>
      <dgm:t>
        <a:bodyPr/>
        <a:lstStyle/>
        <a:p>
          <a:pPr algn="ctr"/>
          <a:endParaRPr lang="en-US"/>
        </a:p>
      </dgm:t>
    </dgm:pt>
    <dgm:pt modelId="{E6DB4540-9989-4F0A-82D7-901485EE2432}">
      <dgm:prSet custT="1"/>
      <dgm:spPr>
        <a:solidFill>
          <a:srgbClr val="CC00CC"/>
        </a:solidFill>
      </dgm:spPr>
      <dgm:t>
        <a:bodyPr/>
        <a:lstStyle/>
        <a:p>
          <a:pPr algn="ctr"/>
          <a:r>
            <a:rPr lang="en-US" sz="1500"/>
            <a:t> </a:t>
          </a:r>
          <a:r>
            <a:rPr lang="en-US" sz="1400"/>
            <a:t>Mfr price increase benefits competitors</a:t>
          </a:r>
          <a:endParaRPr lang="en-US" sz="1400" dirty="0"/>
        </a:p>
      </dgm:t>
    </dgm:pt>
    <dgm:pt modelId="{9284FA49-EB7E-44F7-8C6C-32C27A4CB466}" type="parTrans" cxnId="{59644465-0E24-4C43-9653-FDB312335B30}">
      <dgm:prSet/>
      <dgm:spPr/>
      <dgm:t>
        <a:bodyPr/>
        <a:lstStyle/>
        <a:p>
          <a:pPr algn="ctr"/>
          <a:endParaRPr lang="en-US"/>
        </a:p>
      </dgm:t>
    </dgm:pt>
    <dgm:pt modelId="{25177762-2055-41A8-8F0C-341AA862C67F}" type="sibTrans" cxnId="{59644465-0E24-4C43-9653-FDB312335B30}">
      <dgm:prSet/>
      <dgm:spPr/>
      <dgm:t>
        <a:bodyPr/>
        <a:lstStyle/>
        <a:p>
          <a:pPr algn="ctr"/>
          <a:endParaRPr lang="en-US"/>
        </a:p>
      </dgm:t>
    </dgm:pt>
    <dgm:pt modelId="{CD8E8DD8-5C8F-44D8-BF5E-CEFA2A7921A6}">
      <dgm:prSet custT="1"/>
      <dgm:spPr>
        <a:solidFill>
          <a:srgbClr val="FF7C80"/>
        </a:solidFill>
      </dgm:spPr>
      <dgm:t>
        <a:bodyPr/>
        <a:lstStyle/>
        <a:p>
          <a:pPr algn="ctr"/>
          <a:r>
            <a:rPr lang="en-US" sz="1500"/>
            <a:t>Patent Thickets</a:t>
          </a:r>
          <a:endParaRPr lang="en-US" sz="1500" dirty="0"/>
        </a:p>
      </dgm:t>
    </dgm:pt>
    <dgm:pt modelId="{BA120684-6C01-4FC9-858A-B983AB44AC7E}" type="parTrans" cxnId="{91EA49EC-9451-4C71-941B-E016165A07FC}">
      <dgm:prSet/>
      <dgm:spPr/>
      <dgm:t>
        <a:bodyPr/>
        <a:lstStyle/>
        <a:p>
          <a:pPr algn="ctr"/>
          <a:endParaRPr lang="en-US"/>
        </a:p>
      </dgm:t>
    </dgm:pt>
    <dgm:pt modelId="{6E0672FA-2B33-4AF3-941B-1AAEEA2D322F}" type="sibTrans" cxnId="{91EA49EC-9451-4C71-941B-E016165A07FC}">
      <dgm:prSet/>
      <dgm:spPr/>
      <dgm:t>
        <a:bodyPr/>
        <a:lstStyle/>
        <a:p>
          <a:pPr algn="ctr"/>
          <a:endParaRPr lang="en-US"/>
        </a:p>
      </dgm:t>
    </dgm:pt>
    <dgm:pt modelId="{40152EF2-FD10-4668-94FC-14D306F3CFC8}">
      <dgm:prSet/>
      <dgm:spPr>
        <a:solidFill>
          <a:srgbClr val="FF0000"/>
        </a:solidFill>
      </dgm:spPr>
      <dgm:t>
        <a:bodyPr/>
        <a:lstStyle/>
        <a:p>
          <a:pPr algn="ctr"/>
          <a:r>
            <a:rPr lang="en-US"/>
            <a:t>Pharma lobby $$$ &amp; power</a:t>
          </a:r>
          <a:endParaRPr lang="en-US" dirty="0"/>
        </a:p>
      </dgm:t>
    </dgm:pt>
    <dgm:pt modelId="{A6A18765-36FF-4C49-AE5C-12F90FD82DE4}" type="parTrans" cxnId="{C38E9418-4719-400A-8A47-83390F5EE689}">
      <dgm:prSet/>
      <dgm:spPr/>
      <dgm:t>
        <a:bodyPr/>
        <a:lstStyle/>
        <a:p>
          <a:pPr algn="ctr"/>
          <a:endParaRPr lang="en-US"/>
        </a:p>
      </dgm:t>
    </dgm:pt>
    <dgm:pt modelId="{2C004764-9E06-4BE7-B9A3-8E9F8069F6ED}" type="sibTrans" cxnId="{C38E9418-4719-400A-8A47-83390F5EE689}">
      <dgm:prSet/>
      <dgm:spPr/>
      <dgm:t>
        <a:bodyPr/>
        <a:lstStyle/>
        <a:p>
          <a:pPr algn="ctr"/>
          <a:endParaRPr lang="en-US"/>
        </a:p>
      </dgm:t>
    </dgm:pt>
    <dgm:pt modelId="{28AC253A-668A-4A84-A889-57F392CDE389}">
      <dgm:prSet phldrT="[Text]" custScaleX="159924" custScaleY="135839" custRadScaleRad="133538" custRadScaleInc="16502"/>
      <dgm:spPr>
        <a:solidFill>
          <a:srgbClr val="FF6699"/>
        </a:solidFill>
      </dgm:spPr>
      <dgm:t>
        <a:bodyPr/>
        <a:lstStyle/>
        <a:p>
          <a:pPr algn="ctr"/>
          <a:endParaRPr lang="en-US"/>
        </a:p>
      </dgm:t>
    </dgm:pt>
    <dgm:pt modelId="{AC9DBB23-8C7C-4AE5-AA15-3271924BCD26}" type="parTrans" cxnId="{060D7E83-B6A7-4E93-B876-E302A4676777}">
      <dgm:prSet/>
      <dgm:spPr>
        <a:prstGeom prst="leftArrow">
          <a:avLst/>
        </a:prstGeom>
      </dgm:spPr>
      <dgm:t>
        <a:bodyPr/>
        <a:lstStyle/>
        <a:p>
          <a:pPr algn="ctr"/>
          <a:endParaRPr lang="en-US"/>
        </a:p>
      </dgm:t>
    </dgm:pt>
    <dgm:pt modelId="{5EC70910-64A4-48D5-8C58-95E927F062E2}" type="sibTrans" cxnId="{060D7E83-B6A7-4E93-B876-E302A4676777}">
      <dgm:prSet/>
      <dgm:spPr/>
      <dgm:t>
        <a:bodyPr/>
        <a:lstStyle/>
        <a:p>
          <a:pPr algn="ctr"/>
          <a:endParaRPr lang="en-US"/>
        </a:p>
      </dgm:t>
    </dgm:pt>
    <dgm:pt modelId="{CEE13F8B-AEB0-4A4E-99E7-382A10C77FD4}">
      <dgm:prSet phldrT="[Text]" custT="1"/>
      <dgm:spPr>
        <a:solidFill>
          <a:srgbClr val="92D050"/>
        </a:solidFill>
      </dgm:spPr>
      <dgm:t>
        <a:bodyPr/>
        <a:lstStyle/>
        <a:p>
          <a:pPr algn="ctr"/>
          <a:r>
            <a:rPr lang="en-US" sz="1500" dirty="0"/>
            <a:t>Many entities profit as % of drug price</a:t>
          </a:r>
        </a:p>
      </dgm:t>
    </dgm:pt>
    <dgm:pt modelId="{78CF3756-2F4D-46CA-BE52-F1EE337A3C1E}" type="parTrans" cxnId="{5C272CEF-C845-4386-960B-4AFDFAFE7923}">
      <dgm:prSet/>
      <dgm:spPr/>
      <dgm:t>
        <a:bodyPr/>
        <a:lstStyle/>
        <a:p>
          <a:pPr algn="ctr"/>
          <a:endParaRPr lang="en-US"/>
        </a:p>
      </dgm:t>
    </dgm:pt>
    <dgm:pt modelId="{23B48B65-3340-4F63-B44B-5A2A00141D86}" type="sibTrans" cxnId="{5C272CEF-C845-4386-960B-4AFDFAFE7923}">
      <dgm:prSet/>
      <dgm:spPr/>
      <dgm:t>
        <a:bodyPr/>
        <a:lstStyle/>
        <a:p>
          <a:pPr algn="ctr"/>
          <a:endParaRPr lang="en-US"/>
        </a:p>
      </dgm:t>
    </dgm:pt>
    <dgm:pt modelId="{98CA0C89-6D53-4C71-970A-0873EEBCEBEB}" type="pres">
      <dgm:prSet presAssocID="{5BE46950-B909-4E86-98D6-53B474F47F7F}" presName="Name0" presStyleCnt="0">
        <dgm:presLayoutVars>
          <dgm:chMax val="1"/>
          <dgm:dir/>
          <dgm:animLvl val="ctr"/>
          <dgm:resizeHandles val="exact"/>
        </dgm:presLayoutVars>
      </dgm:prSet>
      <dgm:spPr/>
    </dgm:pt>
    <dgm:pt modelId="{8DBAED5B-61D5-4D14-8076-9894272A12A9}" type="pres">
      <dgm:prSet presAssocID="{322DD45B-7154-4C87-974C-1B7C4B86CFE6}" presName="centerShape" presStyleLbl="node0" presStyleIdx="0" presStyleCnt="1" custScaleX="215421" custScaleY="184489" custLinFactNeighborX="1079"/>
      <dgm:spPr/>
    </dgm:pt>
    <dgm:pt modelId="{5D262330-B858-44D5-808D-6EF824CD1CDB}" type="pres">
      <dgm:prSet presAssocID="{F3477619-270B-43A9-9FA3-FEC7BC4010FB}" presName="parTrans" presStyleLbl="sibTrans2D1" presStyleIdx="0" presStyleCnt="9"/>
      <dgm:spPr>
        <a:prstGeom prst="leftArrow">
          <a:avLst/>
        </a:prstGeom>
      </dgm:spPr>
    </dgm:pt>
    <dgm:pt modelId="{B7FC890C-110A-4815-960F-0144DDF1A014}" type="pres">
      <dgm:prSet presAssocID="{F3477619-270B-43A9-9FA3-FEC7BC4010FB}" presName="connectorText" presStyleLbl="sibTrans2D1" presStyleIdx="0" presStyleCnt="9"/>
      <dgm:spPr/>
    </dgm:pt>
    <dgm:pt modelId="{70B9AFFE-47B1-4537-98A1-CCCB926340A1}" type="pres">
      <dgm:prSet presAssocID="{F24C4D40-861B-4D43-9BEC-DC38056CF18E}" presName="node" presStyleLbl="node1" presStyleIdx="0" presStyleCnt="9" custScaleX="128847" custScaleY="103497" custRadScaleRad="88728" custRadScaleInc="15284">
        <dgm:presLayoutVars>
          <dgm:bulletEnabled val="1"/>
        </dgm:presLayoutVars>
      </dgm:prSet>
      <dgm:spPr/>
    </dgm:pt>
    <dgm:pt modelId="{8506A65E-5169-4428-9191-51803DFEC52B}" type="pres">
      <dgm:prSet presAssocID="{78CF3756-2F4D-46CA-BE52-F1EE337A3C1E}" presName="parTrans" presStyleLbl="sibTrans2D1" presStyleIdx="1" presStyleCnt="9" custAng="10620000"/>
      <dgm:spPr/>
    </dgm:pt>
    <dgm:pt modelId="{81CFEC3B-A2E1-4898-A979-EFE8C9767CA7}" type="pres">
      <dgm:prSet presAssocID="{78CF3756-2F4D-46CA-BE52-F1EE337A3C1E}" presName="connectorText" presStyleLbl="sibTrans2D1" presStyleIdx="1" presStyleCnt="9"/>
      <dgm:spPr/>
    </dgm:pt>
    <dgm:pt modelId="{22AD6686-5F1D-48CD-B6AE-EBC0429C9740}" type="pres">
      <dgm:prSet presAssocID="{CEE13F8B-AEB0-4A4E-99E7-382A10C77FD4}" presName="node" presStyleLbl="node1" presStyleIdx="1" presStyleCnt="9" custScaleX="116321" custScaleY="116737" custRadScaleRad="98052" custRadScaleInc="21616">
        <dgm:presLayoutVars>
          <dgm:bulletEnabled val="1"/>
        </dgm:presLayoutVars>
      </dgm:prSet>
      <dgm:spPr/>
    </dgm:pt>
    <dgm:pt modelId="{197164E5-344F-4456-8F41-DBEC3B96E149}" type="pres">
      <dgm:prSet presAssocID="{E769C787-4750-444E-AC52-7354F870D863}" presName="parTrans" presStyleLbl="sibTrans2D1" presStyleIdx="2" presStyleCnt="9"/>
      <dgm:spPr>
        <a:prstGeom prst="leftArrow">
          <a:avLst/>
        </a:prstGeom>
      </dgm:spPr>
    </dgm:pt>
    <dgm:pt modelId="{ADBD3C2C-197E-4B88-AD1F-DD22B7E68B79}" type="pres">
      <dgm:prSet presAssocID="{E769C787-4750-444E-AC52-7354F870D863}" presName="connectorText" presStyleLbl="sibTrans2D1" presStyleIdx="2" presStyleCnt="9"/>
      <dgm:spPr/>
    </dgm:pt>
    <dgm:pt modelId="{CC346AB3-2889-4E95-B673-B32CA9266A9D}" type="pres">
      <dgm:prSet presAssocID="{D475E932-9F60-4A86-8D39-1F04B8B237D4}" presName="node" presStyleLbl="node1" presStyleIdx="2" presStyleCnt="9" custScaleX="132485" custScaleY="116646" custRadScaleRad="99452" custRadScaleInc="11409">
        <dgm:presLayoutVars>
          <dgm:bulletEnabled val="1"/>
        </dgm:presLayoutVars>
      </dgm:prSet>
      <dgm:spPr/>
    </dgm:pt>
    <dgm:pt modelId="{9A6CF345-7554-4257-A9A9-78CB512EE55C}" type="pres">
      <dgm:prSet presAssocID="{BE64467D-BFF9-421E-9DE6-FC8EFA9F1E36}" presName="parTrans" presStyleLbl="sibTrans2D1" presStyleIdx="3" presStyleCnt="9"/>
      <dgm:spPr>
        <a:prstGeom prst="leftArrow">
          <a:avLst/>
        </a:prstGeom>
      </dgm:spPr>
    </dgm:pt>
    <dgm:pt modelId="{C297730F-2C03-430D-927D-9E7373CF4E17}" type="pres">
      <dgm:prSet presAssocID="{BE64467D-BFF9-421E-9DE6-FC8EFA9F1E36}" presName="connectorText" presStyleLbl="sibTrans2D1" presStyleIdx="3" presStyleCnt="9"/>
      <dgm:spPr/>
    </dgm:pt>
    <dgm:pt modelId="{0B7A1E7B-7AAD-4837-8546-5A6A69E78A46}" type="pres">
      <dgm:prSet presAssocID="{23830A4D-6A67-4763-B751-D9611A1DCC04}" presName="node" presStyleLbl="node1" presStyleIdx="3" presStyleCnt="9" custScaleX="126318" custScaleY="121252" custRadScaleRad="108225" custRadScaleInc="-12280">
        <dgm:presLayoutVars>
          <dgm:bulletEnabled val="1"/>
        </dgm:presLayoutVars>
      </dgm:prSet>
      <dgm:spPr/>
    </dgm:pt>
    <dgm:pt modelId="{0E449E50-EBCB-4F67-8EA0-93542D826BCD}" type="pres">
      <dgm:prSet presAssocID="{9284FA49-EB7E-44F7-8C6C-32C27A4CB466}" presName="parTrans" presStyleLbl="sibTrans2D1" presStyleIdx="4" presStyleCnt="9"/>
      <dgm:spPr>
        <a:prstGeom prst="leftArrow">
          <a:avLst/>
        </a:prstGeom>
      </dgm:spPr>
    </dgm:pt>
    <dgm:pt modelId="{0EE8655C-D00C-4831-8D42-58095B0BF95C}" type="pres">
      <dgm:prSet presAssocID="{9284FA49-EB7E-44F7-8C6C-32C27A4CB466}" presName="connectorText" presStyleLbl="sibTrans2D1" presStyleIdx="4" presStyleCnt="9"/>
      <dgm:spPr/>
    </dgm:pt>
    <dgm:pt modelId="{FF8AD192-FF5B-4496-9D78-9AEB45D04D80}" type="pres">
      <dgm:prSet presAssocID="{E6DB4540-9989-4F0A-82D7-901485EE2432}" presName="node" presStyleLbl="node1" presStyleIdx="4" presStyleCnt="9" custScaleX="121375" custScaleY="117238" custRadScaleRad="91243" custRadScaleInc="-16651">
        <dgm:presLayoutVars>
          <dgm:bulletEnabled val="1"/>
        </dgm:presLayoutVars>
      </dgm:prSet>
      <dgm:spPr/>
    </dgm:pt>
    <dgm:pt modelId="{FC559148-6880-4F95-B9DB-EA2CB631A919}" type="pres">
      <dgm:prSet presAssocID="{BA120684-6C01-4FC9-858A-B983AB44AC7E}" presName="parTrans" presStyleLbl="sibTrans2D1" presStyleIdx="5" presStyleCnt="9"/>
      <dgm:spPr>
        <a:prstGeom prst="leftArrow">
          <a:avLst/>
        </a:prstGeom>
      </dgm:spPr>
    </dgm:pt>
    <dgm:pt modelId="{3CDA1E5E-9AB8-4B58-9891-B5BE46589D8F}" type="pres">
      <dgm:prSet presAssocID="{BA120684-6C01-4FC9-858A-B983AB44AC7E}" presName="connectorText" presStyleLbl="sibTrans2D1" presStyleIdx="5" presStyleCnt="9"/>
      <dgm:spPr/>
    </dgm:pt>
    <dgm:pt modelId="{DD4FA7D1-F5DE-4DE6-B1A8-19038D616A7D}" type="pres">
      <dgm:prSet presAssocID="{CD8E8DD8-5C8F-44D8-BF5E-CEFA2A7921A6}" presName="node" presStyleLbl="node1" presStyleIdx="5" presStyleCnt="9" custScaleX="125847" custScaleY="116168" custRadScaleRad="86938" custRadScaleInc="5159">
        <dgm:presLayoutVars>
          <dgm:bulletEnabled val="1"/>
        </dgm:presLayoutVars>
      </dgm:prSet>
      <dgm:spPr/>
    </dgm:pt>
    <dgm:pt modelId="{E77A72D0-4B5A-460D-A6E4-322FF6367963}" type="pres">
      <dgm:prSet presAssocID="{A6A18765-36FF-4C49-AE5C-12F90FD82DE4}" presName="parTrans" presStyleLbl="sibTrans2D1" presStyleIdx="6" presStyleCnt="9" custScaleX="124382" custScaleY="109854" custLinFactNeighborX="9852" custLinFactNeighborY="3419"/>
      <dgm:spPr>
        <a:prstGeom prst="leftArrow">
          <a:avLst/>
        </a:prstGeom>
      </dgm:spPr>
    </dgm:pt>
    <dgm:pt modelId="{E2A46D76-6E22-4A89-A93A-8CF7DBC775C8}" type="pres">
      <dgm:prSet presAssocID="{A6A18765-36FF-4C49-AE5C-12F90FD82DE4}" presName="connectorText" presStyleLbl="sibTrans2D1" presStyleIdx="6" presStyleCnt="9"/>
      <dgm:spPr/>
    </dgm:pt>
    <dgm:pt modelId="{8D1F6AAE-E879-421D-AB4F-621E41D81DE7}" type="pres">
      <dgm:prSet presAssocID="{40152EF2-FD10-4668-94FC-14D306F3CFC8}" presName="node" presStyleLbl="node1" presStyleIdx="6" presStyleCnt="9" custScaleX="120622" custScaleY="119959" custRadScaleRad="94620" custRadScaleInc="15725">
        <dgm:presLayoutVars>
          <dgm:bulletEnabled val="1"/>
        </dgm:presLayoutVars>
      </dgm:prSet>
      <dgm:spPr/>
    </dgm:pt>
    <dgm:pt modelId="{C182B88A-88D8-4567-8B49-A0A2C86FE0C9}" type="pres">
      <dgm:prSet presAssocID="{506307EC-BEC8-4686-960F-D46742E09A04}" presName="parTrans" presStyleLbl="sibTrans2D1" presStyleIdx="7" presStyleCnt="9"/>
      <dgm:spPr>
        <a:prstGeom prst="leftArrow">
          <a:avLst/>
        </a:prstGeom>
      </dgm:spPr>
    </dgm:pt>
    <dgm:pt modelId="{1F40F32B-6DE4-47F2-A218-499DD474651E}" type="pres">
      <dgm:prSet presAssocID="{506307EC-BEC8-4686-960F-D46742E09A04}" presName="connectorText" presStyleLbl="sibTrans2D1" presStyleIdx="7" presStyleCnt="9"/>
      <dgm:spPr/>
    </dgm:pt>
    <dgm:pt modelId="{F94B0BEF-609C-4A82-A108-F38D54BB7710}" type="pres">
      <dgm:prSet presAssocID="{D83452F3-5A26-4981-A27A-ED0A81D3C702}" presName="node" presStyleLbl="node1" presStyleIdx="7" presStyleCnt="9" custScaleX="123594" custScaleY="105896" custRadScaleRad="102021" custRadScaleInc="8003">
        <dgm:presLayoutVars>
          <dgm:bulletEnabled val="1"/>
        </dgm:presLayoutVars>
      </dgm:prSet>
      <dgm:spPr/>
    </dgm:pt>
    <dgm:pt modelId="{BB821C14-3379-418B-8B66-56CDD246BE73}" type="pres">
      <dgm:prSet presAssocID="{0E651B4D-DF7A-4425-8BC8-3FF02E25043D}" presName="parTrans" presStyleLbl="sibTrans2D1" presStyleIdx="8" presStyleCnt="9"/>
      <dgm:spPr>
        <a:prstGeom prst="leftArrow">
          <a:avLst/>
        </a:prstGeom>
      </dgm:spPr>
    </dgm:pt>
    <dgm:pt modelId="{80AE131E-B7BA-43A1-A71F-84D1AAE5D893}" type="pres">
      <dgm:prSet presAssocID="{0E651B4D-DF7A-4425-8BC8-3FF02E25043D}" presName="connectorText" presStyleLbl="sibTrans2D1" presStyleIdx="8" presStyleCnt="9"/>
      <dgm:spPr/>
    </dgm:pt>
    <dgm:pt modelId="{630ED288-3879-4D9D-AC0A-9B3A0CDF2A08}" type="pres">
      <dgm:prSet presAssocID="{A84BF925-C201-4F00-B281-D606057928A2}" presName="node" presStyleLbl="node1" presStyleIdx="8" presStyleCnt="9" custScaleX="126124" custScaleY="112325" custRadScaleRad="93914" custRadScaleInc="-6484">
        <dgm:presLayoutVars>
          <dgm:bulletEnabled val="1"/>
        </dgm:presLayoutVars>
      </dgm:prSet>
      <dgm:spPr/>
    </dgm:pt>
  </dgm:ptLst>
  <dgm:cxnLst>
    <dgm:cxn modelId="{A633F503-4DDB-471A-B64E-1AC5D4C056EC}" type="presOf" srcId="{BA120684-6C01-4FC9-858A-B983AB44AC7E}" destId="{FC559148-6880-4F95-B9DB-EA2CB631A919}" srcOrd="0" destOrd="0" presId="urn:microsoft.com/office/officeart/2005/8/layout/radial5"/>
    <dgm:cxn modelId="{D8237107-1044-421E-AA3D-934042C11E03}" type="presOf" srcId="{BE64467D-BFF9-421E-9DE6-FC8EFA9F1E36}" destId="{9A6CF345-7554-4257-A9A9-78CB512EE55C}" srcOrd="0" destOrd="0" presId="urn:microsoft.com/office/officeart/2005/8/layout/radial5"/>
    <dgm:cxn modelId="{6D6D930C-1B4C-4804-8646-0138EFEDB987}" type="presOf" srcId="{A6A18765-36FF-4C49-AE5C-12F90FD82DE4}" destId="{E2A46D76-6E22-4A89-A93A-8CF7DBC775C8}" srcOrd="1" destOrd="0" presId="urn:microsoft.com/office/officeart/2005/8/layout/radial5"/>
    <dgm:cxn modelId="{2C362410-6986-43D3-A889-F8DB90E17ADF}" type="presOf" srcId="{0E651B4D-DF7A-4425-8BC8-3FF02E25043D}" destId="{BB821C14-3379-418B-8B66-56CDD246BE73}" srcOrd="0" destOrd="0" presId="urn:microsoft.com/office/officeart/2005/8/layout/radial5"/>
    <dgm:cxn modelId="{C7EFF115-9646-42D5-8127-27E98E3AB914}" type="presOf" srcId="{506307EC-BEC8-4686-960F-D46742E09A04}" destId="{1F40F32B-6DE4-47F2-A218-499DD474651E}" srcOrd="1" destOrd="0" presId="urn:microsoft.com/office/officeart/2005/8/layout/radial5"/>
    <dgm:cxn modelId="{C38E9418-4719-400A-8A47-83390F5EE689}" srcId="{322DD45B-7154-4C87-974C-1B7C4B86CFE6}" destId="{40152EF2-FD10-4668-94FC-14D306F3CFC8}" srcOrd="6" destOrd="0" parTransId="{A6A18765-36FF-4C49-AE5C-12F90FD82DE4}" sibTransId="{2C004764-9E06-4BE7-B9A3-8E9F8069F6ED}"/>
    <dgm:cxn modelId="{59E8C818-29A4-4CA0-911A-AB85C2E6F990}" srcId="{322DD45B-7154-4C87-974C-1B7C4B86CFE6}" destId="{23830A4D-6A67-4763-B751-D9611A1DCC04}" srcOrd="3" destOrd="0" parTransId="{BE64467D-BFF9-421E-9DE6-FC8EFA9F1E36}" sibTransId="{B4D6B0DE-2FE5-4B61-9F84-A34ECC87B634}"/>
    <dgm:cxn modelId="{7EBB771A-F82D-49B1-94B9-E6F22F5C5CC9}" srcId="{322DD45B-7154-4C87-974C-1B7C4B86CFE6}" destId="{D83452F3-5A26-4981-A27A-ED0A81D3C702}" srcOrd="7" destOrd="0" parTransId="{506307EC-BEC8-4686-960F-D46742E09A04}" sibTransId="{15F0F187-A722-45B4-A277-4FA3CA5E8C24}"/>
    <dgm:cxn modelId="{1389FB2F-8FEA-4325-B70F-5662C28A3C50}" type="presOf" srcId="{F3477619-270B-43A9-9FA3-FEC7BC4010FB}" destId="{5D262330-B858-44D5-808D-6EF824CD1CDB}" srcOrd="0" destOrd="0" presId="urn:microsoft.com/office/officeart/2005/8/layout/radial5"/>
    <dgm:cxn modelId="{C1115E31-1E13-4B2F-A43B-0F0DF9A6C947}" type="presOf" srcId="{CD8E8DD8-5C8F-44D8-BF5E-CEFA2A7921A6}" destId="{DD4FA7D1-F5DE-4DE6-B1A8-19038D616A7D}" srcOrd="0" destOrd="0" presId="urn:microsoft.com/office/officeart/2005/8/layout/radial5"/>
    <dgm:cxn modelId="{8EE1A833-5FDF-4DFA-81B4-1D65E109856E}" type="presOf" srcId="{E6DB4540-9989-4F0A-82D7-901485EE2432}" destId="{FF8AD192-FF5B-4496-9D78-9AEB45D04D80}" srcOrd="0" destOrd="0" presId="urn:microsoft.com/office/officeart/2005/8/layout/radial5"/>
    <dgm:cxn modelId="{9B705D37-6428-4FB6-9301-91424B9DC37D}" type="presOf" srcId="{5BE46950-B909-4E86-98D6-53B474F47F7F}" destId="{98CA0C89-6D53-4C71-970A-0873EEBCEBEB}" srcOrd="0" destOrd="0" presId="urn:microsoft.com/office/officeart/2005/8/layout/radial5"/>
    <dgm:cxn modelId="{4BE60E3F-075F-4E46-9D8B-4CDA06E95A0C}" type="presOf" srcId="{78CF3756-2F4D-46CA-BE52-F1EE337A3C1E}" destId="{8506A65E-5169-4428-9191-51803DFEC52B}" srcOrd="0" destOrd="0" presId="urn:microsoft.com/office/officeart/2005/8/layout/radial5"/>
    <dgm:cxn modelId="{D204F63F-DF19-447B-A339-8830C66F1452}" type="presOf" srcId="{CEE13F8B-AEB0-4A4E-99E7-382A10C77FD4}" destId="{22AD6686-5F1D-48CD-B6AE-EBC0429C9740}" srcOrd="0" destOrd="0" presId="urn:microsoft.com/office/officeart/2005/8/layout/radial5"/>
    <dgm:cxn modelId="{13182663-0229-41D0-881B-D51E8F63AA31}" type="presOf" srcId="{9284FA49-EB7E-44F7-8C6C-32C27A4CB466}" destId="{0EE8655C-D00C-4831-8D42-58095B0BF95C}" srcOrd="1" destOrd="0" presId="urn:microsoft.com/office/officeart/2005/8/layout/radial5"/>
    <dgm:cxn modelId="{79A85343-89D7-4905-820D-A33CF04B8549}" type="presOf" srcId="{A6A18765-36FF-4C49-AE5C-12F90FD82DE4}" destId="{E77A72D0-4B5A-460D-A6E4-322FF6367963}" srcOrd="0" destOrd="0" presId="urn:microsoft.com/office/officeart/2005/8/layout/radial5"/>
    <dgm:cxn modelId="{59644465-0E24-4C43-9653-FDB312335B30}" srcId="{322DD45B-7154-4C87-974C-1B7C4B86CFE6}" destId="{E6DB4540-9989-4F0A-82D7-901485EE2432}" srcOrd="4" destOrd="0" parTransId="{9284FA49-EB7E-44F7-8C6C-32C27A4CB466}" sibTransId="{25177762-2055-41A8-8F0C-341AA862C67F}"/>
    <dgm:cxn modelId="{4402C546-F4C7-495F-A005-49C0AD3F0390}" type="presOf" srcId="{BA120684-6C01-4FC9-858A-B983AB44AC7E}" destId="{3CDA1E5E-9AB8-4B58-9891-B5BE46589D8F}" srcOrd="1" destOrd="0" presId="urn:microsoft.com/office/officeart/2005/8/layout/radial5"/>
    <dgm:cxn modelId="{A436474A-070F-4C3F-80D3-058F6049BCCA}" type="presOf" srcId="{F24C4D40-861B-4D43-9BEC-DC38056CF18E}" destId="{70B9AFFE-47B1-4537-98A1-CCCB926340A1}" srcOrd="0" destOrd="0" presId="urn:microsoft.com/office/officeart/2005/8/layout/radial5"/>
    <dgm:cxn modelId="{B442D14B-FAA7-44FC-9C8E-1D0FEE1D6604}" type="presOf" srcId="{E769C787-4750-444E-AC52-7354F870D863}" destId="{197164E5-344F-4456-8F41-DBEC3B96E149}" srcOrd="0" destOrd="0" presId="urn:microsoft.com/office/officeart/2005/8/layout/radial5"/>
    <dgm:cxn modelId="{F542BF70-F2E9-4C45-8DD0-FC5F850FD276}" type="presOf" srcId="{0E651B4D-DF7A-4425-8BC8-3FF02E25043D}" destId="{80AE131E-B7BA-43A1-A71F-84D1AAE5D893}" srcOrd="1" destOrd="0" presId="urn:microsoft.com/office/officeart/2005/8/layout/radial5"/>
    <dgm:cxn modelId="{C3CEFF75-DE7B-43DD-89AF-3711F6F3C83A}" type="presOf" srcId="{A84BF925-C201-4F00-B281-D606057928A2}" destId="{630ED288-3879-4D9D-AC0A-9B3A0CDF2A08}" srcOrd="0" destOrd="0" presId="urn:microsoft.com/office/officeart/2005/8/layout/radial5"/>
    <dgm:cxn modelId="{3A4C7F57-A8A3-47E5-921A-0BC2726CFEF3}" srcId="{5BE46950-B909-4E86-98D6-53B474F47F7F}" destId="{322DD45B-7154-4C87-974C-1B7C4B86CFE6}" srcOrd="0" destOrd="0" parTransId="{85FB7A0B-A159-4466-83D8-F6CB30EB4F0D}" sibTransId="{E2FB8157-8563-47E6-9C9C-97EEEF2DEE8E}"/>
    <dgm:cxn modelId="{32E39F57-3FDE-4465-BBAD-5F1D9EECA390}" type="presOf" srcId="{506307EC-BEC8-4686-960F-D46742E09A04}" destId="{C182B88A-88D8-4567-8B49-A0A2C86FE0C9}" srcOrd="0" destOrd="0" presId="urn:microsoft.com/office/officeart/2005/8/layout/radial5"/>
    <dgm:cxn modelId="{5494CB7D-5C53-4704-9229-5047ED6DCC8A}" type="presOf" srcId="{BE64467D-BFF9-421E-9DE6-FC8EFA9F1E36}" destId="{C297730F-2C03-430D-927D-9E7373CF4E17}" srcOrd="1" destOrd="0" presId="urn:microsoft.com/office/officeart/2005/8/layout/radial5"/>
    <dgm:cxn modelId="{060D7E83-B6A7-4E93-B876-E302A4676777}" srcId="{5BE46950-B909-4E86-98D6-53B474F47F7F}" destId="{28AC253A-668A-4A84-A889-57F392CDE389}" srcOrd="1" destOrd="0" parTransId="{AC9DBB23-8C7C-4AE5-AA15-3271924BCD26}" sibTransId="{5EC70910-64A4-48D5-8C58-95E927F062E2}"/>
    <dgm:cxn modelId="{D166298D-5FCD-4B5F-93A2-33960D8984BD}" type="presOf" srcId="{23830A4D-6A67-4763-B751-D9611A1DCC04}" destId="{0B7A1E7B-7AAD-4837-8546-5A6A69E78A46}" srcOrd="0" destOrd="0" presId="urn:microsoft.com/office/officeart/2005/8/layout/radial5"/>
    <dgm:cxn modelId="{6E0133A1-A02D-45CF-B1B3-B5E3F110B51C}" type="presOf" srcId="{40152EF2-FD10-4668-94FC-14D306F3CFC8}" destId="{8D1F6AAE-E879-421D-AB4F-621E41D81DE7}" srcOrd="0" destOrd="0" presId="urn:microsoft.com/office/officeart/2005/8/layout/radial5"/>
    <dgm:cxn modelId="{C63D08C2-FF59-4421-B2B0-29BB73D44922}" srcId="{322DD45B-7154-4C87-974C-1B7C4B86CFE6}" destId="{F24C4D40-861B-4D43-9BEC-DC38056CF18E}" srcOrd="0" destOrd="0" parTransId="{F3477619-270B-43A9-9FA3-FEC7BC4010FB}" sibTransId="{85B53694-7819-4E21-B4D8-61AFB0C483B6}"/>
    <dgm:cxn modelId="{79A3AEC4-C020-496E-86DF-F9E03DDC767D}" srcId="{322DD45B-7154-4C87-974C-1B7C4B86CFE6}" destId="{A84BF925-C201-4F00-B281-D606057928A2}" srcOrd="8" destOrd="0" parTransId="{0E651B4D-DF7A-4425-8BC8-3FF02E25043D}" sibTransId="{0E469C0D-B225-46AC-8EB6-217B5B95ED76}"/>
    <dgm:cxn modelId="{C224C3C5-5405-4860-B4E7-31336177F07E}" type="presOf" srcId="{322DD45B-7154-4C87-974C-1B7C4B86CFE6}" destId="{8DBAED5B-61D5-4D14-8076-9894272A12A9}" srcOrd="0" destOrd="0" presId="urn:microsoft.com/office/officeart/2005/8/layout/radial5"/>
    <dgm:cxn modelId="{FE5F0AC8-A11C-4483-AE80-1C3D8AD3E7EE}" type="presOf" srcId="{D83452F3-5A26-4981-A27A-ED0A81D3C702}" destId="{F94B0BEF-609C-4A82-A108-F38D54BB7710}" srcOrd="0" destOrd="0" presId="urn:microsoft.com/office/officeart/2005/8/layout/radial5"/>
    <dgm:cxn modelId="{6255A1CB-46BD-4198-9799-FDB6CB91A455}" type="presOf" srcId="{78CF3756-2F4D-46CA-BE52-F1EE337A3C1E}" destId="{81CFEC3B-A2E1-4898-A979-EFE8C9767CA7}" srcOrd="1" destOrd="0" presId="urn:microsoft.com/office/officeart/2005/8/layout/radial5"/>
    <dgm:cxn modelId="{A6A403DD-0A60-44B9-9A94-D73378C405AD}" type="presOf" srcId="{E769C787-4750-444E-AC52-7354F870D863}" destId="{ADBD3C2C-197E-4B88-AD1F-DD22B7E68B79}" srcOrd="1" destOrd="0" presId="urn:microsoft.com/office/officeart/2005/8/layout/radial5"/>
    <dgm:cxn modelId="{91EA49EC-9451-4C71-941B-E016165A07FC}" srcId="{322DD45B-7154-4C87-974C-1B7C4B86CFE6}" destId="{CD8E8DD8-5C8F-44D8-BF5E-CEFA2A7921A6}" srcOrd="5" destOrd="0" parTransId="{BA120684-6C01-4FC9-858A-B983AB44AC7E}" sibTransId="{6E0672FA-2B33-4AF3-941B-1AAEEA2D322F}"/>
    <dgm:cxn modelId="{5C272CEF-C845-4386-960B-4AFDFAFE7923}" srcId="{322DD45B-7154-4C87-974C-1B7C4B86CFE6}" destId="{CEE13F8B-AEB0-4A4E-99E7-382A10C77FD4}" srcOrd="1" destOrd="0" parTransId="{78CF3756-2F4D-46CA-BE52-F1EE337A3C1E}" sibTransId="{23B48B65-3340-4F63-B44B-5A2A00141D86}"/>
    <dgm:cxn modelId="{C36B2EF0-BC04-43F6-8930-921B5E4E54D5}" type="presOf" srcId="{D475E932-9F60-4A86-8D39-1F04B8B237D4}" destId="{CC346AB3-2889-4E95-B673-B32CA9266A9D}" srcOrd="0" destOrd="0" presId="urn:microsoft.com/office/officeart/2005/8/layout/radial5"/>
    <dgm:cxn modelId="{CA5F7EF5-561C-4C1D-BB9C-A7F36B207EB7}" type="presOf" srcId="{F3477619-270B-43A9-9FA3-FEC7BC4010FB}" destId="{B7FC890C-110A-4815-960F-0144DDF1A014}" srcOrd="1" destOrd="0" presId="urn:microsoft.com/office/officeart/2005/8/layout/radial5"/>
    <dgm:cxn modelId="{74C0DDF6-9ADA-464B-91FB-380AFF521FFA}" srcId="{322DD45B-7154-4C87-974C-1B7C4B86CFE6}" destId="{D475E932-9F60-4A86-8D39-1F04B8B237D4}" srcOrd="2" destOrd="0" parTransId="{E769C787-4750-444E-AC52-7354F870D863}" sibTransId="{DB2A0E0B-8E70-4EF6-9318-132FC9ECEF22}"/>
    <dgm:cxn modelId="{BD4CD9FE-3B20-490D-B4BD-D417A3C8948E}" type="presOf" srcId="{9284FA49-EB7E-44F7-8C6C-32C27A4CB466}" destId="{0E449E50-EBCB-4F67-8EA0-93542D826BCD}" srcOrd="0" destOrd="0" presId="urn:microsoft.com/office/officeart/2005/8/layout/radial5"/>
    <dgm:cxn modelId="{0A04B574-F647-4A23-8A17-DA7139ACD934}" type="presParOf" srcId="{98CA0C89-6D53-4C71-970A-0873EEBCEBEB}" destId="{8DBAED5B-61D5-4D14-8076-9894272A12A9}" srcOrd="0" destOrd="0" presId="urn:microsoft.com/office/officeart/2005/8/layout/radial5"/>
    <dgm:cxn modelId="{8AA691A1-2383-4271-9587-0FED88F90F06}" type="presParOf" srcId="{98CA0C89-6D53-4C71-970A-0873EEBCEBEB}" destId="{5D262330-B858-44D5-808D-6EF824CD1CDB}" srcOrd="1" destOrd="0" presId="urn:microsoft.com/office/officeart/2005/8/layout/radial5"/>
    <dgm:cxn modelId="{279C9CD5-2657-4C4D-A2A4-0D4F78F06868}" type="presParOf" srcId="{5D262330-B858-44D5-808D-6EF824CD1CDB}" destId="{B7FC890C-110A-4815-960F-0144DDF1A014}" srcOrd="0" destOrd="0" presId="urn:microsoft.com/office/officeart/2005/8/layout/radial5"/>
    <dgm:cxn modelId="{F1FAC63A-A2CA-4BC1-A275-E56A0B142570}" type="presParOf" srcId="{98CA0C89-6D53-4C71-970A-0873EEBCEBEB}" destId="{70B9AFFE-47B1-4537-98A1-CCCB926340A1}" srcOrd="2" destOrd="0" presId="urn:microsoft.com/office/officeart/2005/8/layout/radial5"/>
    <dgm:cxn modelId="{5B0D915B-45C7-44E3-B1B3-8324F52DDBF4}" type="presParOf" srcId="{98CA0C89-6D53-4C71-970A-0873EEBCEBEB}" destId="{8506A65E-5169-4428-9191-51803DFEC52B}" srcOrd="3" destOrd="0" presId="urn:microsoft.com/office/officeart/2005/8/layout/radial5"/>
    <dgm:cxn modelId="{EA1F086A-DEFC-43F7-A6F7-CFF38D4C5494}" type="presParOf" srcId="{8506A65E-5169-4428-9191-51803DFEC52B}" destId="{81CFEC3B-A2E1-4898-A979-EFE8C9767CA7}" srcOrd="0" destOrd="0" presId="urn:microsoft.com/office/officeart/2005/8/layout/radial5"/>
    <dgm:cxn modelId="{37BBF583-9BD5-41B4-8425-A701E147D4C0}" type="presParOf" srcId="{98CA0C89-6D53-4C71-970A-0873EEBCEBEB}" destId="{22AD6686-5F1D-48CD-B6AE-EBC0429C9740}" srcOrd="4" destOrd="0" presId="urn:microsoft.com/office/officeart/2005/8/layout/radial5"/>
    <dgm:cxn modelId="{3828CDA7-0DE3-4FCF-8DB2-F76F2A50B4E3}" type="presParOf" srcId="{98CA0C89-6D53-4C71-970A-0873EEBCEBEB}" destId="{197164E5-344F-4456-8F41-DBEC3B96E149}" srcOrd="5" destOrd="0" presId="urn:microsoft.com/office/officeart/2005/8/layout/radial5"/>
    <dgm:cxn modelId="{020CB41A-DE40-40BC-8998-1FD7A91D4C25}" type="presParOf" srcId="{197164E5-344F-4456-8F41-DBEC3B96E149}" destId="{ADBD3C2C-197E-4B88-AD1F-DD22B7E68B79}" srcOrd="0" destOrd="0" presId="urn:microsoft.com/office/officeart/2005/8/layout/radial5"/>
    <dgm:cxn modelId="{DB0AE507-48DD-4A0D-AB30-86ED2670568C}" type="presParOf" srcId="{98CA0C89-6D53-4C71-970A-0873EEBCEBEB}" destId="{CC346AB3-2889-4E95-B673-B32CA9266A9D}" srcOrd="6" destOrd="0" presId="urn:microsoft.com/office/officeart/2005/8/layout/radial5"/>
    <dgm:cxn modelId="{85661598-CE5C-4147-9CAA-05C6E515034B}" type="presParOf" srcId="{98CA0C89-6D53-4C71-970A-0873EEBCEBEB}" destId="{9A6CF345-7554-4257-A9A9-78CB512EE55C}" srcOrd="7" destOrd="0" presId="urn:microsoft.com/office/officeart/2005/8/layout/radial5"/>
    <dgm:cxn modelId="{6846ED11-E125-41AE-BB03-B464E54E6C57}" type="presParOf" srcId="{9A6CF345-7554-4257-A9A9-78CB512EE55C}" destId="{C297730F-2C03-430D-927D-9E7373CF4E17}" srcOrd="0" destOrd="0" presId="urn:microsoft.com/office/officeart/2005/8/layout/radial5"/>
    <dgm:cxn modelId="{DE5C33F9-DC4B-4C86-8F3F-B7069CA3AC67}" type="presParOf" srcId="{98CA0C89-6D53-4C71-970A-0873EEBCEBEB}" destId="{0B7A1E7B-7AAD-4837-8546-5A6A69E78A46}" srcOrd="8" destOrd="0" presId="urn:microsoft.com/office/officeart/2005/8/layout/radial5"/>
    <dgm:cxn modelId="{87D32780-7FA5-4918-8785-75BB34980F5B}" type="presParOf" srcId="{98CA0C89-6D53-4C71-970A-0873EEBCEBEB}" destId="{0E449E50-EBCB-4F67-8EA0-93542D826BCD}" srcOrd="9" destOrd="0" presId="urn:microsoft.com/office/officeart/2005/8/layout/radial5"/>
    <dgm:cxn modelId="{0A43CB43-37BB-4375-A7E2-9BD6D0F6EEBE}" type="presParOf" srcId="{0E449E50-EBCB-4F67-8EA0-93542D826BCD}" destId="{0EE8655C-D00C-4831-8D42-58095B0BF95C}" srcOrd="0" destOrd="0" presId="urn:microsoft.com/office/officeart/2005/8/layout/radial5"/>
    <dgm:cxn modelId="{A3EFD71E-4735-45E3-B9B2-E0BCD9301585}" type="presParOf" srcId="{98CA0C89-6D53-4C71-970A-0873EEBCEBEB}" destId="{FF8AD192-FF5B-4496-9D78-9AEB45D04D80}" srcOrd="10" destOrd="0" presId="urn:microsoft.com/office/officeart/2005/8/layout/radial5"/>
    <dgm:cxn modelId="{9F64F7B4-97C9-4476-999F-DA035A759176}" type="presParOf" srcId="{98CA0C89-6D53-4C71-970A-0873EEBCEBEB}" destId="{FC559148-6880-4F95-B9DB-EA2CB631A919}" srcOrd="11" destOrd="0" presId="urn:microsoft.com/office/officeart/2005/8/layout/radial5"/>
    <dgm:cxn modelId="{6863AE48-65A0-4088-9E1F-122FEF263DE1}" type="presParOf" srcId="{FC559148-6880-4F95-B9DB-EA2CB631A919}" destId="{3CDA1E5E-9AB8-4B58-9891-B5BE46589D8F}" srcOrd="0" destOrd="0" presId="urn:microsoft.com/office/officeart/2005/8/layout/radial5"/>
    <dgm:cxn modelId="{001FFE10-843E-4BA5-A8F7-6515DA55FEE7}" type="presParOf" srcId="{98CA0C89-6D53-4C71-970A-0873EEBCEBEB}" destId="{DD4FA7D1-F5DE-4DE6-B1A8-19038D616A7D}" srcOrd="12" destOrd="0" presId="urn:microsoft.com/office/officeart/2005/8/layout/radial5"/>
    <dgm:cxn modelId="{FCCA0E9D-F75E-4BCB-AA77-3919156581FE}" type="presParOf" srcId="{98CA0C89-6D53-4C71-970A-0873EEBCEBEB}" destId="{E77A72D0-4B5A-460D-A6E4-322FF6367963}" srcOrd="13" destOrd="0" presId="urn:microsoft.com/office/officeart/2005/8/layout/radial5"/>
    <dgm:cxn modelId="{5787137E-D798-42DE-B8C2-222578B4B5D2}" type="presParOf" srcId="{E77A72D0-4B5A-460D-A6E4-322FF6367963}" destId="{E2A46D76-6E22-4A89-A93A-8CF7DBC775C8}" srcOrd="0" destOrd="0" presId="urn:microsoft.com/office/officeart/2005/8/layout/radial5"/>
    <dgm:cxn modelId="{F218DD43-20A5-48A9-B78B-89F913AB0FA7}" type="presParOf" srcId="{98CA0C89-6D53-4C71-970A-0873EEBCEBEB}" destId="{8D1F6AAE-E879-421D-AB4F-621E41D81DE7}" srcOrd="14" destOrd="0" presId="urn:microsoft.com/office/officeart/2005/8/layout/radial5"/>
    <dgm:cxn modelId="{ADCF7C46-95D2-46CE-8140-7ED00A0F591D}" type="presParOf" srcId="{98CA0C89-6D53-4C71-970A-0873EEBCEBEB}" destId="{C182B88A-88D8-4567-8B49-A0A2C86FE0C9}" srcOrd="15" destOrd="0" presId="urn:microsoft.com/office/officeart/2005/8/layout/radial5"/>
    <dgm:cxn modelId="{B03AE6AD-803D-4A5D-8E7C-7C958E960763}" type="presParOf" srcId="{C182B88A-88D8-4567-8B49-A0A2C86FE0C9}" destId="{1F40F32B-6DE4-47F2-A218-499DD474651E}" srcOrd="0" destOrd="0" presId="urn:microsoft.com/office/officeart/2005/8/layout/radial5"/>
    <dgm:cxn modelId="{22965B09-7983-4FF7-9609-AD79598029B7}" type="presParOf" srcId="{98CA0C89-6D53-4C71-970A-0873EEBCEBEB}" destId="{F94B0BEF-609C-4A82-A108-F38D54BB7710}" srcOrd="16" destOrd="0" presId="urn:microsoft.com/office/officeart/2005/8/layout/radial5"/>
    <dgm:cxn modelId="{D3194630-633D-44D0-93A5-7DACA180A770}" type="presParOf" srcId="{98CA0C89-6D53-4C71-970A-0873EEBCEBEB}" destId="{BB821C14-3379-418B-8B66-56CDD246BE73}" srcOrd="17" destOrd="0" presId="urn:microsoft.com/office/officeart/2005/8/layout/radial5"/>
    <dgm:cxn modelId="{7B8FB4A8-B875-486F-B9E1-D8CD9BB25BFF}" type="presParOf" srcId="{BB821C14-3379-418B-8B66-56CDD246BE73}" destId="{80AE131E-B7BA-43A1-A71F-84D1AAE5D893}" srcOrd="0" destOrd="0" presId="urn:microsoft.com/office/officeart/2005/8/layout/radial5"/>
    <dgm:cxn modelId="{4C174F89-581C-4B9B-B5D7-BEA39C21DC3E}" type="presParOf" srcId="{98CA0C89-6D53-4C71-970A-0873EEBCEBEB}" destId="{630ED288-3879-4D9D-AC0A-9B3A0CDF2A08}" srcOrd="1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AED5B-61D5-4D14-8076-9894272A12A9}">
      <dsp:nvSpPr>
        <dsp:cNvPr id="0" name=""/>
        <dsp:cNvSpPr/>
      </dsp:nvSpPr>
      <dsp:spPr>
        <a:xfrm>
          <a:off x="2153537" y="1716895"/>
          <a:ext cx="1856175" cy="1589649"/>
        </a:xfrm>
        <a:prstGeom prst="ellipse">
          <a:avLst/>
        </a:prstGeom>
        <a:solidFill>
          <a:srgbClr val="CC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Unlimited Mfr Ability to Price</a:t>
          </a:r>
          <a:endParaRPr lang="en-US" sz="2000" kern="1200" dirty="0"/>
        </a:p>
      </dsp:txBody>
      <dsp:txXfrm>
        <a:off x="2425368" y="1949694"/>
        <a:ext cx="1312513" cy="1124051"/>
      </dsp:txXfrm>
    </dsp:sp>
    <dsp:sp modelId="{5D262330-B858-44D5-808D-6EF824CD1CDB}">
      <dsp:nvSpPr>
        <dsp:cNvPr id="0" name=""/>
        <dsp:cNvSpPr/>
      </dsp:nvSpPr>
      <dsp:spPr>
        <a:xfrm rot="16299824">
          <a:off x="2997990" y="1364479"/>
          <a:ext cx="225406"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030819" y="1456868"/>
        <a:ext cx="157784" cy="175777"/>
      </dsp:txXfrm>
    </dsp:sp>
    <dsp:sp modelId="{70B9AFFE-47B1-4537-98A1-CCCB926340A1}">
      <dsp:nvSpPr>
        <dsp:cNvPr id="0" name=""/>
        <dsp:cNvSpPr/>
      </dsp:nvSpPr>
      <dsp:spPr>
        <a:xfrm>
          <a:off x="2439355" y="177449"/>
          <a:ext cx="1387763" cy="1114727"/>
        </a:xfrm>
        <a:prstGeom prst="ellipse">
          <a:avLst/>
        </a:prstGeom>
        <a:solidFill>
          <a:srgbClr val="99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err="1"/>
            <a:t>Mfr</a:t>
          </a:r>
          <a:r>
            <a:rPr lang="en-US" sz="1500" kern="1200" dirty="0"/>
            <a:t> Move to Rare and “small population” diseases</a:t>
          </a:r>
        </a:p>
      </dsp:txBody>
      <dsp:txXfrm>
        <a:off x="2642588" y="340697"/>
        <a:ext cx="981297" cy="788231"/>
      </dsp:txXfrm>
    </dsp:sp>
    <dsp:sp modelId="{8506A65E-5169-4428-9191-51803DFEC52B}">
      <dsp:nvSpPr>
        <dsp:cNvPr id="0" name=""/>
        <dsp:cNvSpPr/>
      </dsp:nvSpPr>
      <dsp:spPr>
        <a:xfrm rot="7824423">
          <a:off x="3697134" y="1586006"/>
          <a:ext cx="243115" cy="292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57239" y="1616830"/>
        <a:ext cx="170181" cy="175777"/>
      </dsp:txXfrm>
    </dsp:sp>
    <dsp:sp modelId="{22AD6686-5F1D-48CD-B6AE-EBC0429C9740}">
      <dsp:nvSpPr>
        <dsp:cNvPr id="0" name=""/>
        <dsp:cNvSpPr/>
      </dsp:nvSpPr>
      <dsp:spPr>
        <a:xfrm>
          <a:off x="3785877" y="476250"/>
          <a:ext cx="1252850" cy="1257330"/>
        </a:xfrm>
        <a:prstGeom prst="ellips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a:t>Many entities profit as % of drug price</a:t>
          </a:r>
        </a:p>
      </dsp:txBody>
      <dsp:txXfrm>
        <a:off x="3969353" y="660382"/>
        <a:ext cx="885898" cy="889066"/>
      </dsp:txXfrm>
    </dsp:sp>
    <dsp:sp modelId="{197164E5-344F-4456-8F41-DBEC3B96E149}">
      <dsp:nvSpPr>
        <dsp:cNvPr id="0" name=""/>
        <dsp:cNvSpPr/>
      </dsp:nvSpPr>
      <dsp:spPr>
        <a:xfrm rot="21126670">
          <a:off x="4065690" y="2217312"/>
          <a:ext cx="167040"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065927" y="2279343"/>
        <a:ext cx="116928" cy="175777"/>
      </dsp:txXfrm>
    </dsp:sp>
    <dsp:sp modelId="{CC346AB3-2889-4E95-B673-B32CA9266A9D}">
      <dsp:nvSpPr>
        <dsp:cNvPr id="0" name=""/>
        <dsp:cNvSpPr/>
      </dsp:nvSpPr>
      <dsp:spPr>
        <a:xfrm>
          <a:off x="4301313" y="1615681"/>
          <a:ext cx="1426946" cy="1256350"/>
        </a:xfrm>
        <a:prstGeom prst="ellipse">
          <a:avLst/>
        </a:prstGeom>
        <a:solidFill>
          <a:srgbClr val="CC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Mfr focus on shareholder &amp; stock price</a:t>
          </a:r>
          <a:endParaRPr lang="en-US" sz="1500" kern="1200" dirty="0"/>
        </a:p>
      </dsp:txBody>
      <dsp:txXfrm>
        <a:off x="4510284" y="1799669"/>
        <a:ext cx="1009004" cy="888374"/>
      </dsp:txXfrm>
    </dsp:sp>
    <dsp:sp modelId="{9A6CF345-7554-4257-A9A9-78CB512EE55C}">
      <dsp:nvSpPr>
        <dsp:cNvPr id="0" name=""/>
        <dsp:cNvSpPr/>
      </dsp:nvSpPr>
      <dsp:spPr>
        <a:xfrm rot="1684908">
          <a:off x="3961459" y="2914612"/>
          <a:ext cx="299671"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966632" y="2952518"/>
        <a:ext cx="211783" cy="175777"/>
      </dsp:txXfrm>
    </dsp:sp>
    <dsp:sp modelId="{0B7A1E7B-7AAD-4837-8546-5A6A69E78A46}">
      <dsp:nvSpPr>
        <dsp:cNvPr id="0" name=""/>
        <dsp:cNvSpPr/>
      </dsp:nvSpPr>
      <dsp:spPr>
        <a:xfrm>
          <a:off x="4282528" y="2862421"/>
          <a:ext cx="1360524" cy="1305960"/>
        </a:xfrm>
        <a:prstGeom prst="ellipse">
          <a:avLst/>
        </a:prstGeom>
        <a:solidFill>
          <a:srgbClr val="FF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Mfr profits from price &amp; price increase, not volume</a:t>
          </a:r>
          <a:endParaRPr lang="en-US" sz="1500" kern="1200" dirty="0"/>
        </a:p>
      </dsp:txBody>
      <dsp:txXfrm>
        <a:off x="4481772" y="3053674"/>
        <a:ext cx="962036" cy="923454"/>
      </dsp:txXfrm>
    </dsp:sp>
    <dsp:sp modelId="{0E449E50-EBCB-4F67-8EA0-93542D826BCD}">
      <dsp:nvSpPr>
        <dsp:cNvPr id="0" name=""/>
        <dsp:cNvSpPr/>
      </dsp:nvSpPr>
      <dsp:spPr>
        <a:xfrm rot="4075541">
          <a:off x="3355621" y="3281728"/>
          <a:ext cx="195346"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373911" y="3313166"/>
        <a:ext cx="136742" cy="175777"/>
      </dsp:txXfrm>
    </dsp:sp>
    <dsp:sp modelId="{FF8AD192-FF5B-4496-9D78-9AEB45D04D80}">
      <dsp:nvSpPr>
        <dsp:cNvPr id="0" name=""/>
        <dsp:cNvSpPr/>
      </dsp:nvSpPr>
      <dsp:spPr>
        <a:xfrm>
          <a:off x="3109390" y="3560619"/>
          <a:ext cx="1307285" cy="1262726"/>
        </a:xfrm>
        <a:prstGeom prst="ellipse">
          <a:avLst/>
        </a:prstGeom>
        <a:solidFill>
          <a:srgbClr val="CC00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 </a:t>
          </a:r>
          <a:r>
            <a:rPr lang="en-US" sz="1400" kern="1200"/>
            <a:t>Mfr price increase benefits competitors</a:t>
          </a:r>
          <a:endParaRPr lang="en-US" sz="1400" kern="1200" dirty="0"/>
        </a:p>
      </dsp:txBody>
      <dsp:txXfrm>
        <a:off x="3300837" y="3745541"/>
        <a:ext cx="924391" cy="892882"/>
      </dsp:txXfrm>
    </dsp:sp>
    <dsp:sp modelId="{FC559148-6880-4F95-B9DB-EA2CB631A919}">
      <dsp:nvSpPr>
        <dsp:cNvPr id="0" name=""/>
        <dsp:cNvSpPr/>
      </dsp:nvSpPr>
      <dsp:spPr>
        <a:xfrm rot="6740839">
          <a:off x="2631164" y="3256950"/>
          <a:ext cx="167766"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665897" y="3292267"/>
        <a:ext cx="117436" cy="175777"/>
      </dsp:txXfrm>
    </dsp:sp>
    <dsp:sp modelId="{DD4FA7D1-F5DE-4DE6-B1A8-19038D616A7D}">
      <dsp:nvSpPr>
        <dsp:cNvPr id="0" name=""/>
        <dsp:cNvSpPr/>
      </dsp:nvSpPr>
      <dsp:spPr>
        <a:xfrm>
          <a:off x="1734889" y="3513508"/>
          <a:ext cx="1355451" cy="1251202"/>
        </a:xfrm>
        <a:prstGeom prst="ellipse">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Patent Thickets</a:t>
          </a:r>
          <a:endParaRPr lang="en-US" sz="1500" kern="1200" dirty="0"/>
        </a:p>
      </dsp:txBody>
      <dsp:txXfrm>
        <a:off x="1933390" y="3696742"/>
        <a:ext cx="958449" cy="884734"/>
      </dsp:txXfrm>
    </dsp:sp>
    <dsp:sp modelId="{E77A72D0-4B5A-460D-A6E4-322FF6367963}">
      <dsp:nvSpPr>
        <dsp:cNvPr id="0" name=""/>
        <dsp:cNvSpPr/>
      </dsp:nvSpPr>
      <dsp:spPr>
        <a:xfrm rot="9223411">
          <a:off x="1999273" y="2841688"/>
          <a:ext cx="257577" cy="321829"/>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10800000">
        <a:off x="2072554" y="2888949"/>
        <a:ext cx="180304" cy="193097"/>
      </dsp:txXfrm>
    </dsp:sp>
    <dsp:sp modelId="{8D1F6AAE-E879-421D-AB4F-621E41D81DE7}">
      <dsp:nvSpPr>
        <dsp:cNvPr id="0" name=""/>
        <dsp:cNvSpPr/>
      </dsp:nvSpPr>
      <dsp:spPr>
        <a:xfrm>
          <a:off x="695808" y="2722916"/>
          <a:ext cx="1299174" cy="1292033"/>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Pharma lobby $$$ &amp; power</a:t>
          </a:r>
          <a:endParaRPr lang="en-US" sz="1400" kern="1200" dirty="0"/>
        </a:p>
      </dsp:txBody>
      <dsp:txXfrm>
        <a:off x="886068" y="2912130"/>
        <a:ext cx="918654" cy="913605"/>
      </dsp:txXfrm>
    </dsp:sp>
    <dsp:sp modelId="{C182B88A-88D8-4567-8B49-A0A2C86FE0C9}">
      <dsp:nvSpPr>
        <dsp:cNvPr id="0" name=""/>
        <dsp:cNvSpPr/>
      </dsp:nvSpPr>
      <dsp:spPr>
        <a:xfrm rot="11481710">
          <a:off x="1803482" y="2135344"/>
          <a:ext cx="268110"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883127" y="2201859"/>
        <a:ext cx="187677" cy="175777"/>
      </dsp:txXfrm>
    </dsp:sp>
    <dsp:sp modelId="{F94B0BEF-609C-4A82-A108-F38D54BB7710}">
      <dsp:nvSpPr>
        <dsp:cNvPr id="0" name=""/>
        <dsp:cNvSpPr/>
      </dsp:nvSpPr>
      <dsp:spPr>
        <a:xfrm>
          <a:off x="368518" y="1530005"/>
          <a:ext cx="1331185" cy="1140566"/>
        </a:xfrm>
        <a:prstGeom prst="ellipse">
          <a:avLst/>
        </a:prstGeom>
        <a:solidFill>
          <a:srgbClr val="FF00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Patient Treatment Advocacy</a:t>
          </a:r>
          <a:endParaRPr lang="en-US" sz="1400" kern="1200" dirty="0"/>
        </a:p>
      </dsp:txBody>
      <dsp:txXfrm>
        <a:off x="563466" y="1697037"/>
        <a:ext cx="941289" cy="806502"/>
      </dsp:txXfrm>
    </dsp:sp>
    <dsp:sp modelId="{BB821C14-3379-418B-8B66-56CDD246BE73}">
      <dsp:nvSpPr>
        <dsp:cNvPr id="0" name=""/>
        <dsp:cNvSpPr/>
      </dsp:nvSpPr>
      <dsp:spPr>
        <a:xfrm rot="13663736">
          <a:off x="2257674" y="1583974"/>
          <a:ext cx="227550" cy="292961"/>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314765" y="1667823"/>
        <a:ext cx="159285" cy="175777"/>
      </dsp:txXfrm>
    </dsp:sp>
    <dsp:sp modelId="{630ED288-3879-4D9D-AC0A-9B3A0CDF2A08}">
      <dsp:nvSpPr>
        <dsp:cNvPr id="0" name=""/>
        <dsp:cNvSpPr/>
      </dsp:nvSpPr>
      <dsp:spPr>
        <a:xfrm>
          <a:off x="1116132" y="491781"/>
          <a:ext cx="1358434" cy="1209810"/>
        </a:xfrm>
        <a:prstGeom prst="ellipse">
          <a:avLst/>
        </a:prstGeom>
        <a:solidFill>
          <a:srgbClr val="33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Insurer Inability to Control Costs</a:t>
          </a:r>
          <a:endParaRPr lang="en-US" sz="1400" kern="1200" dirty="0"/>
        </a:p>
      </dsp:txBody>
      <dsp:txXfrm>
        <a:off x="1315070" y="668954"/>
        <a:ext cx="960558" cy="8554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8B86-2F75-41BC-84C6-08F20518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138</cp:revision>
  <cp:lastPrinted>2020-01-19T19:30:00Z</cp:lastPrinted>
  <dcterms:created xsi:type="dcterms:W3CDTF">2021-03-19T20:21:00Z</dcterms:created>
  <dcterms:modified xsi:type="dcterms:W3CDTF">2021-03-26T11:59:00Z</dcterms:modified>
</cp:coreProperties>
</file>