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F04D" w14:textId="1126BB89" w:rsidR="008D3DF6" w:rsidRDefault="0005077A" w:rsidP="004F48B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PhRMA: </w:t>
      </w:r>
      <w:r w:rsidR="00B901A3" w:rsidRPr="00E27223">
        <w:rPr>
          <w:rFonts w:ascii="Times New Roman" w:hAnsi="Times New Roman"/>
          <w:b/>
        </w:rPr>
        <w:t>Price controls on patented products are unconstitutional and run counter to patent law</w:t>
      </w:r>
      <w:r w:rsidR="00654590" w:rsidRPr="00E27223">
        <w:rPr>
          <w:rFonts w:ascii="Times New Roman" w:hAnsi="Times New Roman"/>
          <w:b/>
        </w:rPr>
        <w:t xml:space="preserve">: </w:t>
      </w:r>
      <w:r w:rsidR="0093645B" w:rsidRPr="00E27223">
        <w:rPr>
          <w:rFonts w:ascii="Times New Roman" w:hAnsi="Times New Roman"/>
          <w:b/>
        </w:rPr>
        <w:t xml:space="preserve">PDAB </w:t>
      </w:r>
      <w:r w:rsidR="0093645B" w:rsidRPr="00E27223">
        <w:rPr>
          <w:rFonts w:ascii="Times New Roman" w:hAnsi="Times New Roman"/>
        </w:rPr>
        <w:t>implements</w:t>
      </w:r>
      <w:r w:rsidR="00B901A3" w:rsidRPr="00654590">
        <w:rPr>
          <w:rFonts w:ascii="Times New Roman" w:hAnsi="Times New Roman"/>
          <w:b/>
          <w:bCs/>
        </w:rPr>
        <w:t xml:space="preserve"> a price control for certain medicines </w:t>
      </w:r>
      <w:r w:rsidR="00B901A3" w:rsidRPr="00654590">
        <w:rPr>
          <w:rFonts w:ascii="Times New Roman" w:hAnsi="Times New Roman"/>
          <w:b/>
          <w:bCs/>
          <w:i/>
          <w:iCs/>
        </w:rPr>
        <w:t>by way of</w:t>
      </w:r>
      <w:r w:rsidR="00B901A3" w:rsidRPr="00654590">
        <w:rPr>
          <w:rFonts w:ascii="Times New Roman" w:hAnsi="Times New Roman"/>
          <w:b/>
          <w:bCs/>
        </w:rPr>
        <w:t xml:space="preserve"> an “upper payment limit” across all stakeholders in the supply chain</w:t>
      </w:r>
      <w:r w:rsidR="00762089">
        <w:rPr>
          <w:rFonts w:ascii="Times New Roman" w:hAnsi="Times New Roman"/>
        </w:rPr>
        <w:t>.</w:t>
      </w:r>
    </w:p>
    <w:p w14:paraId="57FF3ADD" w14:textId="10B18057" w:rsidR="00447AB1" w:rsidRDefault="0005077A" w:rsidP="004F48B8">
      <w:pPr>
        <w:rPr>
          <w:rFonts w:ascii="Times New Roman" w:hAnsi="Times New Roman"/>
        </w:rPr>
      </w:pPr>
      <w:r w:rsidRPr="0005077A">
        <w:rPr>
          <w:rFonts w:ascii="Times New Roman" w:hAnsi="Times New Roman"/>
          <w:i/>
          <w:iCs/>
        </w:rPr>
        <w:t>Response:</w:t>
      </w:r>
      <w:r>
        <w:rPr>
          <w:rFonts w:ascii="Times New Roman" w:hAnsi="Times New Roman"/>
        </w:rPr>
        <w:t xml:space="preserve"> </w:t>
      </w:r>
      <w:r w:rsidR="00762089">
        <w:rPr>
          <w:rFonts w:ascii="Times New Roman" w:hAnsi="Times New Roman"/>
        </w:rPr>
        <w:t xml:space="preserve">An upper payment limit </w:t>
      </w:r>
      <w:r w:rsidR="00510302">
        <w:rPr>
          <w:rFonts w:ascii="Times New Roman" w:hAnsi="Times New Roman"/>
        </w:rPr>
        <w:t xml:space="preserve">is </w:t>
      </w:r>
      <w:r w:rsidR="007A59D3">
        <w:rPr>
          <w:rFonts w:ascii="Times New Roman" w:hAnsi="Times New Roman"/>
        </w:rPr>
        <w:t>the same as state healthcare rate setting,</w:t>
      </w:r>
      <w:r w:rsidR="00075E9D">
        <w:rPr>
          <w:rFonts w:ascii="Times New Roman" w:hAnsi="Times New Roman"/>
        </w:rPr>
        <w:t xml:space="preserve"> </w:t>
      </w:r>
      <w:r w:rsidR="007A59D3">
        <w:rPr>
          <w:rFonts w:ascii="Times New Roman" w:hAnsi="Times New Roman"/>
        </w:rPr>
        <w:t xml:space="preserve">which the US Supreme Court </w:t>
      </w:r>
      <w:r w:rsidR="00075E9D">
        <w:rPr>
          <w:rFonts w:ascii="Times New Roman" w:hAnsi="Times New Roman"/>
        </w:rPr>
        <w:t>unanimously affirmed state’s authority to do</w:t>
      </w:r>
      <w:r w:rsidR="00F06C4F">
        <w:rPr>
          <w:rFonts w:ascii="Times New Roman" w:hAnsi="Times New Roman"/>
        </w:rPr>
        <w:t xml:space="preserve"> (Rutledge v PCMA)</w:t>
      </w:r>
      <w:r w:rsidR="00DA124C">
        <w:rPr>
          <w:rFonts w:ascii="Times New Roman" w:hAnsi="Times New Roman"/>
        </w:rPr>
        <w:t xml:space="preserve">. </w:t>
      </w:r>
      <w:r w:rsidR="00177C98">
        <w:rPr>
          <w:rFonts w:ascii="Times New Roman" w:hAnsi="Times New Roman"/>
        </w:rPr>
        <w:t xml:space="preserve">An upper payment limit that applies only to </w:t>
      </w:r>
      <w:r w:rsidR="00762089">
        <w:rPr>
          <w:rFonts w:ascii="Times New Roman" w:hAnsi="Times New Roman"/>
        </w:rPr>
        <w:t>state-licensed healthcare entities is not a price control on manufacturers</w:t>
      </w:r>
      <w:r w:rsidR="00325F4B">
        <w:rPr>
          <w:rFonts w:ascii="Times New Roman" w:hAnsi="Times New Roman"/>
        </w:rPr>
        <w:t xml:space="preserve">. </w:t>
      </w:r>
      <w:r w:rsidR="00850CD9">
        <w:rPr>
          <w:rFonts w:ascii="Times New Roman" w:hAnsi="Times New Roman"/>
        </w:rPr>
        <w:t xml:space="preserve">In fact, </w:t>
      </w:r>
      <w:r w:rsidR="00762089">
        <w:rPr>
          <w:rFonts w:ascii="Times New Roman" w:hAnsi="Times New Roman"/>
        </w:rPr>
        <w:t xml:space="preserve">the </w:t>
      </w:r>
      <w:r w:rsidR="007B7FD3">
        <w:rPr>
          <w:rFonts w:ascii="Times New Roman" w:hAnsi="Times New Roman"/>
        </w:rPr>
        <w:t>long</w:t>
      </w:r>
      <w:r w:rsidR="00850CD9">
        <w:rPr>
          <w:rFonts w:ascii="Times New Roman" w:hAnsi="Times New Roman"/>
        </w:rPr>
        <w:t>-</w:t>
      </w:r>
      <w:r w:rsidR="007B7FD3">
        <w:rPr>
          <w:rFonts w:ascii="Times New Roman" w:hAnsi="Times New Roman"/>
        </w:rPr>
        <w:t xml:space="preserve">standing </w:t>
      </w:r>
      <w:r w:rsidR="00762089">
        <w:rPr>
          <w:rFonts w:ascii="Times New Roman" w:hAnsi="Times New Roman"/>
        </w:rPr>
        <w:t xml:space="preserve">Maryland Health Services Cost </w:t>
      </w:r>
      <w:r w:rsidR="003A394D">
        <w:rPr>
          <w:rFonts w:ascii="Times New Roman" w:hAnsi="Times New Roman"/>
        </w:rPr>
        <w:t>Review Commission</w:t>
      </w:r>
      <w:r w:rsidR="00E86E76">
        <w:rPr>
          <w:rFonts w:ascii="Times New Roman" w:hAnsi="Times New Roman"/>
        </w:rPr>
        <w:t xml:space="preserve"> (HSCRC)</w:t>
      </w:r>
      <w:r w:rsidR="003A394D">
        <w:rPr>
          <w:rFonts w:ascii="Times New Roman" w:hAnsi="Times New Roman"/>
        </w:rPr>
        <w:t xml:space="preserve">, which imposed limits on what hospitals will charge and what payers will pay for </w:t>
      </w:r>
      <w:r w:rsidR="00E30A26">
        <w:rPr>
          <w:rFonts w:ascii="Times New Roman" w:hAnsi="Times New Roman"/>
        </w:rPr>
        <w:t xml:space="preserve">inpatient services </w:t>
      </w:r>
      <w:r w:rsidR="00FB1D4F">
        <w:rPr>
          <w:rFonts w:ascii="Times New Roman" w:hAnsi="Times New Roman"/>
        </w:rPr>
        <w:t xml:space="preserve">(including prescription drugs) </w:t>
      </w:r>
      <w:r w:rsidR="00FF344A">
        <w:rPr>
          <w:rFonts w:ascii="Times New Roman" w:hAnsi="Times New Roman"/>
        </w:rPr>
        <w:t xml:space="preserve">is </w:t>
      </w:r>
      <w:r w:rsidR="00602A4C">
        <w:rPr>
          <w:rFonts w:ascii="Times New Roman" w:hAnsi="Times New Roman"/>
        </w:rPr>
        <w:t>constitutional</w:t>
      </w:r>
      <w:r w:rsidR="00DA124C">
        <w:rPr>
          <w:rFonts w:ascii="Times New Roman" w:hAnsi="Times New Roman"/>
        </w:rPr>
        <w:t xml:space="preserve">. </w:t>
      </w:r>
      <w:r w:rsidR="00E30A26">
        <w:rPr>
          <w:rFonts w:ascii="Times New Roman" w:hAnsi="Times New Roman"/>
        </w:rPr>
        <w:t>The point of t</w:t>
      </w:r>
      <w:r w:rsidR="00E86E76">
        <w:rPr>
          <w:rFonts w:ascii="Times New Roman" w:hAnsi="Times New Roman"/>
        </w:rPr>
        <w:t>he Maryland</w:t>
      </w:r>
      <w:r w:rsidR="00E30A26">
        <w:rPr>
          <w:rFonts w:ascii="Times New Roman" w:hAnsi="Times New Roman"/>
        </w:rPr>
        <w:t xml:space="preserve"> statewide, all payer, all hospital payment limit was to constrain hospital costs</w:t>
      </w:r>
      <w:r w:rsidR="00F663EE">
        <w:rPr>
          <w:rFonts w:ascii="Times New Roman" w:hAnsi="Times New Roman"/>
        </w:rPr>
        <w:t xml:space="preserve"> and force greater hospital efficiencies. The limit made no provision for </w:t>
      </w:r>
      <w:r w:rsidR="00447AB1">
        <w:rPr>
          <w:rFonts w:ascii="Times New Roman" w:hAnsi="Times New Roman"/>
        </w:rPr>
        <w:t xml:space="preserve">how hospitals were to manage new </w:t>
      </w:r>
      <w:r w:rsidR="0093645B">
        <w:rPr>
          <w:rFonts w:ascii="Times New Roman" w:hAnsi="Times New Roman"/>
        </w:rPr>
        <w:t>high-cost</w:t>
      </w:r>
      <w:r w:rsidR="00447AB1">
        <w:rPr>
          <w:rFonts w:ascii="Times New Roman" w:hAnsi="Times New Roman"/>
        </w:rPr>
        <w:t xml:space="preserve"> drugs and devices. Hospitals had to negotiate. </w:t>
      </w:r>
      <w:r w:rsidR="007E5BCA">
        <w:rPr>
          <w:rFonts w:ascii="Times New Roman" w:hAnsi="Times New Roman"/>
        </w:rPr>
        <w:t xml:space="preserve">Neither </w:t>
      </w:r>
      <w:r w:rsidR="00447AB1">
        <w:rPr>
          <w:rFonts w:ascii="Times New Roman" w:hAnsi="Times New Roman"/>
        </w:rPr>
        <w:t>PhRMA nor the medical device industry ever</w:t>
      </w:r>
      <w:r w:rsidR="00FE7D3E">
        <w:rPr>
          <w:rFonts w:ascii="Times New Roman" w:hAnsi="Times New Roman"/>
        </w:rPr>
        <w:t xml:space="preserve"> </w:t>
      </w:r>
      <w:r w:rsidR="00F06C4F">
        <w:rPr>
          <w:rFonts w:ascii="Times New Roman" w:hAnsi="Times New Roman"/>
        </w:rPr>
        <w:t xml:space="preserve">alleged </w:t>
      </w:r>
      <w:r w:rsidR="00447AB1">
        <w:rPr>
          <w:rFonts w:ascii="Times New Roman" w:hAnsi="Times New Roman"/>
        </w:rPr>
        <w:t xml:space="preserve">that the </w:t>
      </w:r>
      <w:r w:rsidR="00E86E76">
        <w:rPr>
          <w:rFonts w:ascii="Times New Roman" w:hAnsi="Times New Roman"/>
        </w:rPr>
        <w:t xml:space="preserve">MD </w:t>
      </w:r>
      <w:r w:rsidR="00447AB1">
        <w:rPr>
          <w:rFonts w:ascii="Times New Roman" w:hAnsi="Times New Roman"/>
        </w:rPr>
        <w:t>HSCRC violated patent law</w:t>
      </w:r>
      <w:r w:rsidR="00DA124C">
        <w:rPr>
          <w:rFonts w:ascii="Times New Roman" w:hAnsi="Times New Roman"/>
        </w:rPr>
        <w:t xml:space="preserve">. </w:t>
      </w:r>
      <w:r w:rsidR="00F06C4F">
        <w:rPr>
          <w:rFonts w:ascii="Times New Roman" w:hAnsi="Times New Roman"/>
        </w:rPr>
        <w:t xml:space="preserve">An upper payment limit would </w:t>
      </w:r>
      <w:r w:rsidR="001222FE">
        <w:rPr>
          <w:rFonts w:ascii="Times New Roman" w:hAnsi="Times New Roman"/>
        </w:rPr>
        <w:t xml:space="preserve">operate in </w:t>
      </w:r>
      <w:r w:rsidR="0065736B">
        <w:rPr>
          <w:rFonts w:ascii="Times New Roman" w:hAnsi="Times New Roman"/>
        </w:rPr>
        <w:t>the same</w:t>
      </w:r>
      <w:r w:rsidR="00447AB1">
        <w:rPr>
          <w:rFonts w:ascii="Times New Roman" w:hAnsi="Times New Roman"/>
        </w:rPr>
        <w:t xml:space="preserve"> </w:t>
      </w:r>
      <w:r w:rsidR="001222FE">
        <w:rPr>
          <w:rFonts w:ascii="Times New Roman" w:hAnsi="Times New Roman"/>
        </w:rPr>
        <w:t>way</w:t>
      </w:r>
      <w:r w:rsidR="00DA124C">
        <w:rPr>
          <w:rFonts w:ascii="Times New Roman" w:hAnsi="Times New Roman"/>
        </w:rPr>
        <w:t xml:space="preserve">. </w:t>
      </w:r>
    </w:p>
    <w:p w14:paraId="6A71E39D" w14:textId="2E35FB2B" w:rsidR="005E27F5" w:rsidRDefault="005E27F5" w:rsidP="004F48B8">
      <w:pPr>
        <w:rPr>
          <w:rFonts w:ascii="Times New Roman" w:hAnsi="Times New Roman"/>
        </w:rPr>
      </w:pPr>
    </w:p>
    <w:p w14:paraId="1CA5B5A4" w14:textId="77777777" w:rsidR="001222FE" w:rsidRDefault="001222FE" w:rsidP="004F48B8">
      <w:pPr>
        <w:rPr>
          <w:rFonts w:ascii="Times New Roman" w:hAnsi="Times New Roman"/>
        </w:rPr>
      </w:pPr>
    </w:p>
    <w:p w14:paraId="5FCFD9D9" w14:textId="7BC12668" w:rsidR="00B901A3" w:rsidRDefault="0005077A" w:rsidP="004F48B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PhRMA: </w:t>
      </w:r>
      <w:r w:rsidR="001222FE" w:rsidRPr="00765E89">
        <w:rPr>
          <w:rFonts w:ascii="Times New Roman" w:hAnsi="Times New Roman"/>
          <w:b/>
          <w:bCs/>
        </w:rPr>
        <w:t xml:space="preserve">PDAB </w:t>
      </w:r>
      <w:r w:rsidR="00B901A3" w:rsidRPr="00765E89">
        <w:rPr>
          <w:rFonts w:ascii="Times New Roman" w:hAnsi="Times New Roman"/>
          <w:b/>
          <w:bCs/>
        </w:rPr>
        <w:t xml:space="preserve">does not solve the </w:t>
      </w:r>
      <w:r w:rsidR="000C4E83">
        <w:rPr>
          <w:rFonts w:ascii="Times New Roman" w:hAnsi="Times New Roman"/>
          <w:b/>
          <w:bCs/>
        </w:rPr>
        <w:t xml:space="preserve">basic </w:t>
      </w:r>
      <w:r w:rsidR="00B901A3" w:rsidRPr="00765E89">
        <w:rPr>
          <w:rFonts w:ascii="Times New Roman" w:hAnsi="Times New Roman"/>
          <w:b/>
          <w:bCs/>
        </w:rPr>
        <w:t xml:space="preserve">problem </w:t>
      </w:r>
      <w:r w:rsidR="000C4E83">
        <w:rPr>
          <w:rFonts w:ascii="Times New Roman" w:hAnsi="Times New Roman"/>
          <w:b/>
          <w:bCs/>
        </w:rPr>
        <w:t xml:space="preserve">that drug company </w:t>
      </w:r>
      <w:r w:rsidR="00B901A3" w:rsidRPr="00765E89">
        <w:rPr>
          <w:rFonts w:ascii="Times New Roman" w:hAnsi="Times New Roman"/>
          <w:b/>
          <w:bCs/>
        </w:rPr>
        <w:t xml:space="preserve">rebates </w:t>
      </w:r>
      <w:r w:rsidR="001222FE" w:rsidRPr="00765E89">
        <w:rPr>
          <w:rFonts w:ascii="Times New Roman" w:hAnsi="Times New Roman"/>
          <w:b/>
          <w:bCs/>
        </w:rPr>
        <w:t xml:space="preserve">do </w:t>
      </w:r>
      <w:r w:rsidR="00B901A3" w:rsidRPr="00765E89">
        <w:rPr>
          <w:rFonts w:ascii="Times New Roman" w:hAnsi="Times New Roman"/>
          <w:b/>
          <w:bCs/>
        </w:rPr>
        <w:t>not flow to the patient when paying for a medicine at a pharmacy</w:t>
      </w:r>
      <w:r w:rsidR="00765E89">
        <w:rPr>
          <w:rFonts w:ascii="Times New Roman" w:hAnsi="Times New Roman"/>
        </w:rPr>
        <w:t>.</w:t>
      </w:r>
    </w:p>
    <w:p w14:paraId="5500B265" w14:textId="22F46B9D" w:rsidR="007A1B1F" w:rsidRPr="007D27DA" w:rsidRDefault="0005077A" w:rsidP="004F48B8">
      <w:pPr>
        <w:rPr>
          <w:rFonts w:ascii="Times New Roman" w:hAnsi="Times New Roman"/>
        </w:rPr>
      </w:pPr>
      <w:r w:rsidRPr="0005077A">
        <w:rPr>
          <w:rFonts w:ascii="Times New Roman" w:hAnsi="Times New Roman"/>
          <w:i/>
          <w:iCs/>
        </w:rPr>
        <w:t>Response:</w:t>
      </w:r>
      <w:r>
        <w:rPr>
          <w:rFonts w:ascii="Times New Roman" w:hAnsi="Times New Roman"/>
        </w:rPr>
        <w:t xml:space="preserve"> </w:t>
      </w:r>
      <w:r w:rsidR="007A1B1F">
        <w:rPr>
          <w:rFonts w:ascii="Times New Roman" w:hAnsi="Times New Roman"/>
        </w:rPr>
        <w:t>A well-functioning PDAB</w:t>
      </w:r>
      <w:r w:rsidR="00C222C8">
        <w:rPr>
          <w:rFonts w:ascii="Times New Roman" w:hAnsi="Times New Roman"/>
        </w:rPr>
        <w:t xml:space="preserve"> upper payment limit</w:t>
      </w:r>
      <w:r w:rsidR="007A1B1F">
        <w:rPr>
          <w:rFonts w:ascii="Times New Roman" w:hAnsi="Times New Roman"/>
        </w:rPr>
        <w:t xml:space="preserve"> lowers </w:t>
      </w:r>
      <w:r w:rsidR="00C222C8">
        <w:rPr>
          <w:rFonts w:ascii="Times New Roman" w:hAnsi="Times New Roman"/>
        </w:rPr>
        <w:t xml:space="preserve">the </w:t>
      </w:r>
      <w:r w:rsidR="007A1B1F">
        <w:rPr>
          <w:rFonts w:ascii="Times New Roman" w:hAnsi="Times New Roman"/>
        </w:rPr>
        <w:t>cost of a</w:t>
      </w:r>
      <w:r w:rsidR="00C222C8">
        <w:rPr>
          <w:rFonts w:ascii="Times New Roman" w:hAnsi="Times New Roman"/>
        </w:rPr>
        <w:t xml:space="preserve"> </w:t>
      </w:r>
      <w:r w:rsidR="007A1B1F">
        <w:rPr>
          <w:rFonts w:ascii="Times New Roman" w:hAnsi="Times New Roman"/>
        </w:rPr>
        <w:t xml:space="preserve">product </w:t>
      </w:r>
      <w:r w:rsidR="00C222C8">
        <w:rPr>
          <w:rFonts w:ascii="Times New Roman" w:hAnsi="Times New Roman"/>
        </w:rPr>
        <w:t xml:space="preserve">at each stop in the </w:t>
      </w:r>
      <w:r w:rsidR="007A1B1F" w:rsidRPr="00C222C8">
        <w:rPr>
          <w:rFonts w:ascii="Times New Roman" w:hAnsi="Times New Roman"/>
        </w:rPr>
        <w:t>supply chain</w:t>
      </w:r>
      <w:r w:rsidR="00DA124C">
        <w:rPr>
          <w:rFonts w:ascii="Times New Roman" w:hAnsi="Times New Roman"/>
          <w:i/>
          <w:iCs/>
        </w:rPr>
        <w:t>.</w:t>
      </w:r>
      <w:r w:rsidR="00DA124C">
        <w:rPr>
          <w:rFonts w:ascii="Times New Roman" w:hAnsi="Times New Roman"/>
        </w:rPr>
        <w:t xml:space="preserve"> </w:t>
      </w:r>
      <w:r w:rsidR="009968B6">
        <w:rPr>
          <w:rFonts w:ascii="Times New Roman" w:hAnsi="Times New Roman"/>
        </w:rPr>
        <w:t xml:space="preserve">The point of an upper payment limit is intended precisely to get a lower cost to the patient </w:t>
      </w:r>
      <w:r w:rsidR="006F3332">
        <w:rPr>
          <w:rFonts w:ascii="Times New Roman" w:hAnsi="Times New Roman"/>
        </w:rPr>
        <w:t xml:space="preserve">at the pharmacy or </w:t>
      </w:r>
      <w:r w:rsidR="007A1B1F">
        <w:rPr>
          <w:rFonts w:ascii="Times New Roman" w:hAnsi="Times New Roman"/>
        </w:rPr>
        <w:t>other place of service</w:t>
      </w:r>
      <w:r w:rsidR="00DA124C">
        <w:rPr>
          <w:rFonts w:ascii="Times New Roman" w:hAnsi="Times New Roman"/>
        </w:rPr>
        <w:t xml:space="preserve">. </w:t>
      </w:r>
      <w:r w:rsidR="006F3332">
        <w:rPr>
          <w:rFonts w:ascii="Times New Roman" w:hAnsi="Times New Roman"/>
        </w:rPr>
        <w:t xml:space="preserve">This is exactly the outcome PhRMA </w:t>
      </w:r>
      <w:r w:rsidR="000B3FB2">
        <w:rPr>
          <w:rFonts w:ascii="Times New Roman" w:hAnsi="Times New Roman"/>
        </w:rPr>
        <w:t>demands in its massive advertising campaign</w:t>
      </w:r>
      <w:r w:rsidR="00DA124C">
        <w:rPr>
          <w:rFonts w:ascii="Times New Roman" w:hAnsi="Times New Roman"/>
        </w:rPr>
        <w:t xml:space="preserve">. </w:t>
      </w:r>
      <w:r w:rsidR="00A81E52">
        <w:rPr>
          <w:rFonts w:ascii="Times New Roman" w:hAnsi="Times New Roman"/>
        </w:rPr>
        <w:t>A</w:t>
      </w:r>
      <w:r w:rsidR="000E3ECC">
        <w:rPr>
          <w:rFonts w:ascii="Times New Roman" w:hAnsi="Times New Roman"/>
        </w:rPr>
        <w:t>n</w:t>
      </w:r>
      <w:r w:rsidR="002A763B">
        <w:rPr>
          <w:rFonts w:ascii="Times New Roman" w:hAnsi="Times New Roman"/>
        </w:rPr>
        <w:t xml:space="preserve"> </w:t>
      </w:r>
      <w:r w:rsidR="00A81E52">
        <w:rPr>
          <w:rFonts w:ascii="Times New Roman" w:hAnsi="Times New Roman"/>
        </w:rPr>
        <w:t xml:space="preserve">upper payment limit will necessitate </w:t>
      </w:r>
      <w:r w:rsidR="002A763B">
        <w:rPr>
          <w:rFonts w:ascii="Times New Roman" w:hAnsi="Times New Roman"/>
        </w:rPr>
        <w:t>on-invoice discounts</w:t>
      </w:r>
      <w:r w:rsidR="000E3ECC">
        <w:rPr>
          <w:rFonts w:ascii="Times New Roman" w:hAnsi="Times New Roman"/>
        </w:rPr>
        <w:t xml:space="preserve"> rather than back-end secret rebates</w:t>
      </w:r>
      <w:r w:rsidR="00DA124C">
        <w:rPr>
          <w:rFonts w:ascii="Times New Roman" w:hAnsi="Times New Roman"/>
        </w:rPr>
        <w:t xml:space="preserve">. </w:t>
      </w:r>
      <w:r w:rsidR="00556EF0">
        <w:rPr>
          <w:rFonts w:ascii="Times New Roman" w:hAnsi="Times New Roman"/>
        </w:rPr>
        <w:t xml:space="preserve">A </w:t>
      </w:r>
      <w:r w:rsidR="008070D7">
        <w:rPr>
          <w:rFonts w:ascii="Times New Roman" w:hAnsi="Times New Roman"/>
        </w:rPr>
        <w:t>statewide all</w:t>
      </w:r>
      <w:r w:rsidR="000E3ECC">
        <w:rPr>
          <w:rFonts w:ascii="Times New Roman" w:hAnsi="Times New Roman"/>
        </w:rPr>
        <w:t>-</w:t>
      </w:r>
      <w:r w:rsidR="008070D7">
        <w:rPr>
          <w:rFonts w:ascii="Times New Roman" w:hAnsi="Times New Roman"/>
        </w:rPr>
        <w:t xml:space="preserve">payer upper payment limit </w:t>
      </w:r>
      <w:r w:rsidR="000E3ECC">
        <w:rPr>
          <w:rFonts w:ascii="Times New Roman" w:hAnsi="Times New Roman"/>
        </w:rPr>
        <w:t>is</w:t>
      </w:r>
      <w:r w:rsidR="008070D7">
        <w:rPr>
          <w:rFonts w:ascii="Times New Roman" w:hAnsi="Times New Roman"/>
        </w:rPr>
        <w:t xml:space="preserve"> the only way to accomplish the dual goals of PhRMA</w:t>
      </w:r>
      <w:r w:rsidR="000E3ECC">
        <w:rPr>
          <w:rFonts w:ascii="Times New Roman" w:hAnsi="Times New Roman"/>
        </w:rPr>
        <w:t xml:space="preserve"> </w:t>
      </w:r>
      <w:r w:rsidR="007D54F3">
        <w:rPr>
          <w:rFonts w:ascii="Times New Roman" w:hAnsi="Times New Roman"/>
        </w:rPr>
        <w:t>– getting their price concessions directly to patients and reducing the need for rebates</w:t>
      </w:r>
      <w:r w:rsidR="00DA124C">
        <w:rPr>
          <w:rFonts w:ascii="Times New Roman" w:hAnsi="Times New Roman"/>
        </w:rPr>
        <w:t xml:space="preserve">. </w:t>
      </w:r>
    </w:p>
    <w:p w14:paraId="43E53E16" w14:textId="77777777" w:rsidR="00B901A3" w:rsidRPr="007D27DA" w:rsidRDefault="00B901A3" w:rsidP="004F48B8">
      <w:pPr>
        <w:rPr>
          <w:rFonts w:ascii="Times New Roman" w:hAnsi="Times New Roman"/>
        </w:rPr>
      </w:pPr>
      <w:r w:rsidRPr="007D27DA">
        <w:rPr>
          <w:rFonts w:ascii="Times New Roman" w:hAnsi="Times New Roman"/>
        </w:rPr>
        <w:t xml:space="preserve"> </w:t>
      </w:r>
    </w:p>
    <w:p w14:paraId="257F99BA" w14:textId="77777777" w:rsidR="00B901A3" w:rsidRPr="007D27DA" w:rsidRDefault="00B901A3" w:rsidP="004F48B8">
      <w:pPr>
        <w:rPr>
          <w:rFonts w:ascii="Times New Roman" w:hAnsi="Times New Roman"/>
          <w:highlight w:val="yellow"/>
        </w:rPr>
      </w:pPr>
    </w:p>
    <w:p w14:paraId="2B392A25" w14:textId="14D4A559" w:rsidR="00B901A3" w:rsidRDefault="0005077A" w:rsidP="004F48B8">
      <w:pPr>
        <w:pStyle w:val="BodyText"/>
        <w:spacing w:after="0"/>
        <w:rPr>
          <w:b/>
          <w:bCs/>
        </w:rPr>
      </w:pPr>
      <w:r>
        <w:rPr>
          <w:b/>
          <w:bCs/>
        </w:rPr>
        <w:t xml:space="preserve">PhRMA: </w:t>
      </w:r>
      <w:r w:rsidR="009E44E7" w:rsidRPr="00BF040A">
        <w:rPr>
          <w:b/>
          <w:bCs/>
        </w:rPr>
        <w:t xml:space="preserve">The PDAB </w:t>
      </w:r>
      <w:r w:rsidR="009E44E7" w:rsidRPr="00BF040A">
        <w:rPr>
          <w:b/>
          <w:bCs/>
          <w:i/>
          <w:iCs/>
        </w:rPr>
        <w:t>could</w:t>
      </w:r>
      <w:r w:rsidR="009E44E7" w:rsidRPr="00BF040A">
        <w:rPr>
          <w:b/>
          <w:bCs/>
        </w:rPr>
        <w:t xml:space="preserve"> </w:t>
      </w:r>
      <w:r w:rsidR="00E27223" w:rsidRPr="00BF040A">
        <w:rPr>
          <w:b/>
          <w:bCs/>
        </w:rPr>
        <w:t>affect</w:t>
      </w:r>
      <w:r w:rsidR="009E44E7" w:rsidRPr="00BF040A">
        <w:rPr>
          <w:b/>
          <w:bCs/>
        </w:rPr>
        <w:t xml:space="preserve"> prices out of state</w:t>
      </w:r>
      <w:r w:rsidR="00BF040A" w:rsidRPr="00BF040A">
        <w:rPr>
          <w:b/>
          <w:bCs/>
        </w:rPr>
        <w:t xml:space="preserve">, </w:t>
      </w:r>
      <w:r w:rsidR="00B901A3" w:rsidRPr="00BF040A">
        <w:rPr>
          <w:b/>
          <w:bCs/>
        </w:rPr>
        <w:t>which could be a violation of the Constitution’s Dormant Commerce Clause</w:t>
      </w:r>
      <w:r w:rsidR="00DA124C" w:rsidRPr="00BF040A">
        <w:rPr>
          <w:b/>
          <w:bCs/>
        </w:rPr>
        <w:t xml:space="preserve">. </w:t>
      </w:r>
    </w:p>
    <w:p w14:paraId="4E8A1B80" w14:textId="4D016BF7" w:rsidR="00863D53" w:rsidRDefault="004F2001" w:rsidP="004F48B8">
      <w:pPr>
        <w:pStyle w:val="BodyText"/>
        <w:spacing w:after="0"/>
      </w:pPr>
      <w:r w:rsidRPr="0005077A">
        <w:rPr>
          <w:i/>
          <w:iCs/>
        </w:rPr>
        <w:t>Response:</w:t>
      </w:r>
      <w:r>
        <w:t xml:space="preserve"> </w:t>
      </w:r>
      <w:r w:rsidR="00BF040A">
        <w:t>PDAB upper payment limits</w:t>
      </w:r>
      <w:r w:rsidR="00971073">
        <w:t xml:space="preserve"> </w:t>
      </w:r>
      <w:r w:rsidR="00E84238">
        <w:t xml:space="preserve">(UPLs) </w:t>
      </w:r>
      <w:r w:rsidR="00BF040A">
        <w:t xml:space="preserve">apply to all state-licensed healthcare </w:t>
      </w:r>
      <w:r w:rsidR="00971073">
        <w:t xml:space="preserve">providers, </w:t>
      </w:r>
      <w:r w:rsidR="006E4292">
        <w:t>facilities,</w:t>
      </w:r>
      <w:r w:rsidR="00971073">
        <w:t xml:space="preserve"> and organizations</w:t>
      </w:r>
      <w:r w:rsidR="00DA124C">
        <w:t xml:space="preserve">. </w:t>
      </w:r>
      <w:r w:rsidR="00971073">
        <w:t>A UPL applies only to</w:t>
      </w:r>
      <w:r w:rsidR="00E84238">
        <w:t xml:space="preserve"> </w:t>
      </w:r>
      <w:r w:rsidR="00971073">
        <w:t xml:space="preserve">drugs </w:t>
      </w:r>
      <w:r w:rsidR="0055308E">
        <w:t xml:space="preserve">intended </w:t>
      </w:r>
      <w:r w:rsidR="00971073">
        <w:t xml:space="preserve">for sale inside the </w:t>
      </w:r>
      <w:r w:rsidR="001D46AE">
        <w:t xml:space="preserve">PDAB state. </w:t>
      </w:r>
      <w:r w:rsidR="00863D53">
        <w:t xml:space="preserve">The UPL addresses some key criteria of constitutionality. </w:t>
      </w:r>
    </w:p>
    <w:p w14:paraId="540AF6D2" w14:textId="14915806" w:rsidR="00A97584" w:rsidRDefault="00863D53" w:rsidP="00935F5F">
      <w:pPr>
        <w:pStyle w:val="BodyText"/>
        <w:numPr>
          <w:ilvl w:val="0"/>
          <w:numId w:val="3"/>
        </w:numPr>
        <w:spacing w:after="0"/>
      </w:pPr>
      <w:r>
        <w:t xml:space="preserve">It </w:t>
      </w:r>
      <w:r w:rsidR="001D46AE">
        <w:t>is intended to improve health and welfare of PDAB state residents</w:t>
      </w:r>
      <w:r w:rsidR="00DA124C">
        <w:t xml:space="preserve">. </w:t>
      </w:r>
    </w:p>
    <w:p w14:paraId="3C62FC99" w14:textId="11FF1365" w:rsidR="00935F5F" w:rsidRDefault="00863D53" w:rsidP="00935F5F">
      <w:pPr>
        <w:pStyle w:val="BodyText"/>
        <w:numPr>
          <w:ilvl w:val="0"/>
          <w:numId w:val="3"/>
        </w:numPr>
        <w:spacing w:after="0"/>
      </w:pPr>
      <w:r>
        <w:t>It</w:t>
      </w:r>
      <w:r w:rsidR="001D46AE">
        <w:t xml:space="preserve"> builds on the existing pharma industry business model which provides different discounts for the same drug to different providers and </w:t>
      </w:r>
      <w:r w:rsidR="00B37B90">
        <w:t>different rebates to different health plans/pharmacy benefit managers</w:t>
      </w:r>
      <w:r w:rsidR="00DA124C">
        <w:t xml:space="preserve">. </w:t>
      </w:r>
      <w:r w:rsidR="00A97584">
        <w:t xml:space="preserve">A UPL creates </w:t>
      </w:r>
      <w:r w:rsidR="00090A7B">
        <w:t>no new burden on the industry</w:t>
      </w:r>
      <w:r w:rsidR="00A97584">
        <w:t xml:space="preserve"> relative to the industry standard operating procedures. </w:t>
      </w:r>
    </w:p>
    <w:p w14:paraId="23354890" w14:textId="34103A01" w:rsidR="00BF040A" w:rsidRPr="00BF040A" w:rsidRDefault="00935F5F" w:rsidP="00935F5F">
      <w:pPr>
        <w:pStyle w:val="BodyText"/>
        <w:numPr>
          <w:ilvl w:val="0"/>
          <w:numId w:val="3"/>
        </w:numPr>
        <w:spacing w:after="0"/>
      </w:pPr>
      <w:r>
        <w:t xml:space="preserve">It </w:t>
      </w:r>
      <w:r w:rsidR="00063D39">
        <w:t>does not require a manufacturer to change its list price</w:t>
      </w:r>
      <w:r w:rsidR="000316E9">
        <w:t xml:space="preserve">, just </w:t>
      </w:r>
      <w:r w:rsidR="0093645B">
        <w:t>as market</w:t>
      </w:r>
      <w:r w:rsidR="000316E9">
        <w:t xml:space="preserve"> </w:t>
      </w:r>
      <w:r w:rsidR="00235096">
        <w:t xml:space="preserve">price concessions </w:t>
      </w:r>
      <w:r w:rsidR="00D43BD7">
        <w:t xml:space="preserve">do not </w:t>
      </w:r>
      <w:r w:rsidR="000316E9">
        <w:t>change the list price of</w:t>
      </w:r>
      <w:r w:rsidR="00573EE7">
        <w:t xml:space="preserve"> a drug</w:t>
      </w:r>
      <w:r w:rsidR="00DA124C">
        <w:t xml:space="preserve">. </w:t>
      </w:r>
    </w:p>
    <w:p w14:paraId="4B12A269" w14:textId="77777777" w:rsidR="00B901A3" w:rsidRPr="007D27DA" w:rsidRDefault="00B901A3" w:rsidP="004F48B8">
      <w:pPr>
        <w:pStyle w:val="BodyText"/>
        <w:spacing w:after="0"/>
      </w:pPr>
    </w:p>
    <w:p w14:paraId="7CD5D7ED" w14:textId="07D7D63B" w:rsidR="00B901A3" w:rsidRPr="00E029CC" w:rsidRDefault="004F2001" w:rsidP="004F48B8">
      <w:pPr>
        <w:ind w:right="72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PhRMA:</w:t>
      </w:r>
      <w:r>
        <w:rPr>
          <w:b/>
          <w:bCs/>
        </w:rPr>
        <w:t xml:space="preserve"> </w:t>
      </w:r>
      <w:r w:rsidR="00814ECD" w:rsidRPr="00E029CC">
        <w:rPr>
          <w:rFonts w:ascii="Times New Roman" w:hAnsi="Times New Roman"/>
          <w:b/>
        </w:rPr>
        <w:t>T</w:t>
      </w:r>
      <w:r w:rsidR="00B901A3" w:rsidRPr="00E029CC">
        <w:rPr>
          <w:rFonts w:ascii="Times New Roman" w:hAnsi="Times New Roman"/>
          <w:b/>
        </w:rPr>
        <w:t xml:space="preserve">he price of a drug is </w:t>
      </w:r>
      <w:r w:rsidR="00814ECD" w:rsidRPr="00E029CC">
        <w:rPr>
          <w:rFonts w:ascii="Times New Roman" w:hAnsi="Times New Roman"/>
          <w:b/>
        </w:rPr>
        <w:t xml:space="preserve">not </w:t>
      </w:r>
      <w:r w:rsidR="00B901A3" w:rsidRPr="00E029CC">
        <w:rPr>
          <w:rFonts w:ascii="Times New Roman" w:hAnsi="Times New Roman"/>
          <w:b/>
        </w:rPr>
        <w:t xml:space="preserve">determined solely by drug manufacturers. </w:t>
      </w:r>
    </w:p>
    <w:p w14:paraId="5DD7CE9D" w14:textId="5C23209A" w:rsidR="00B901A3" w:rsidRPr="007D27DA" w:rsidRDefault="004F2001" w:rsidP="004F48B8">
      <w:pPr>
        <w:pStyle w:val="PlainText"/>
        <w:rPr>
          <w:rFonts w:ascii="Times New Roman" w:hAnsi="Times New Roman"/>
        </w:rPr>
      </w:pPr>
      <w:r w:rsidRPr="0005077A">
        <w:rPr>
          <w:rFonts w:ascii="Times New Roman" w:hAnsi="Times New Roman"/>
          <w:i/>
          <w:iCs/>
        </w:rPr>
        <w:t>Response:</w:t>
      </w:r>
      <w:r>
        <w:rPr>
          <w:rFonts w:ascii="Times New Roman" w:hAnsi="Times New Roman"/>
        </w:rPr>
        <w:t xml:space="preserve"> </w:t>
      </w:r>
      <w:r w:rsidR="00814ECD">
        <w:rPr>
          <w:rFonts w:ascii="Times New Roman" w:hAnsi="Times New Roman" w:cs="Times New Roman"/>
          <w:sz w:val="24"/>
          <w:szCs w:val="24"/>
        </w:rPr>
        <w:t>Th</w:t>
      </w:r>
      <w:r w:rsidR="00BF25B0">
        <w:rPr>
          <w:rFonts w:ascii="Times New Roman" w:hAnsi="Times New Roman" w:cs="Times New Roman"/>
          <w:sz w:val="24"/>
          <w:szCs w:val="24"/>
        </w:rPr>
        <w:t xml:space="preserve">e national </w:t>
      </w:r>
      <w:r w:rsidR="00DF25A6">
        <w:rPr>
          <w:rFonts w:ascii="Times New Roman" w:hAnsi="Times New Roman" w:cs="Times New Roman"/>
          <w:sz w:val="24"/>
          <w:szCs w:val="24"/>
        </w:rPr>
        <w:t xml:space="preserve">list </w:t>
      </w:r>
      <w:r w:rsidR="00BF25B0">
        <w:rPr>
          <w:rFonts w:ascii="Times New Roman" w:hAnsi="Times New Roman" w:cs="Times New Roman"/>
          <w:sz w:val="24"/>
          <w:szCs w:val="24"/>
        </w:rPr>
        <w:t xml:space="preserve">price of a drug </w:t>
      </w:r>
      <w:r w:rsidR="00BF25B0" w:rsidRPr="00DF25A6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="00BF25B0">
        <w:rPr>
          <w:rFonts w:ascii="Times New Roman" w:hAnsi="Times New Roman" w:cs="Times New Roman"/>
          <w:sz w:val="24"/>
          <w:szCs w:val="24"/>
        </w:rPr>
        <w:t xml:space="preserve"> determined by manufacturers</w:t>
      </w:r>
      <w:r w:rsidR="00DA124C">
        <w:rPr>
          <w:rFonts w:ascii="Times New Roman" w:hAnsi="Times New Roman" w:cs="Times New Roman"/>
          <w:sz w:val="24"/>
          <w:szCs w:val="24"/>
        </w:rPr>
        <w:t xml:space="preserve">. </w:t>
      </w:r>
      <w:r w:rsidR="00DF25A6">
        <w:rPr>
          <w:rFonts w:ascii="Times New Roman" w:hAnsi="Times New Roman" w:cs="Times New Roman"/>
          <w:sz w:val="24"/>
          <w:szCs w:val="24"/>
        </w:rPr>
        <w:t xml:space="preserve">It is this </w:t>
      </w:r>
      <w:r w:rsidR="00182A02">
        <w:rPr>
          <w:rFonts w:ascii="Times New Roman" w:hAnsi="Times New Roman" w:cs="Times New Roman"/>
          <w:sz w:val="24"/>
          <w:szCs w:val="24"/>
        </w:rPr>
        <w:t xml:space="preserve">national </w:t>
      </w:r>
      <w:r w:rsidR="00DF25A6">
        <w:rPr>
          <w:rFonts w:ascii="Times New Roman" w:hAnsi="Times New Roman" w:cs="Times New Roman"/>
          <w:sz w:val="24"/>
          <w:szCs w:val="24"/>
        </w:rPr>
        <w:t xml:space="preserve">price that is </w:t>
      </w:r>
      <w:r w:rsidR="007A35C9">
        <w:rPr>
          <w:rFonts w:ascii="Times New Roman" w:hAnsi="Times New Roman" w:cs="Times New Roman"/>
          <w:sz w:val="24"/>
          <w:szCs w:val="24"/>
        </w:rPr>
        <w:t xml:space="preserve">the basis of PDAB review. </w:t>
      </w:r>
      <w:r w:rsidR="00CD3227">
        <w:rPr>
          <w:rFonts w:ascii="Times New Roman" w:hAnsi="Times New Roman" w:cs="Times New Roman"/>
          <w:sz w:val="24"/>
          <w:szCs w:val="24"/>
        </w:rPr>
        <w:t>Similarly, d</w:t>
      </w:r>
      <w:r w:rsidR="007A35C9">
        <w:rPr>
          <w:rFonts w:ascii="Times New Roman" w:hAnsi="Times New Roman" w:cs="Times New Roman"/>
          <w:sz w:val="24"/>
          <w:szCs w:val="24"/>
        </w:rPr>
        <w:t>rug price increases are determined by manufacturers</w:t>
      </w:r>
      <w:r w:rsidR="00DA124C">
        <w:rPr>
          <w:rFonts w:ascii="Times New Roman" w:hAnsi="Times New Roman" w:cs="Times New Roman"/>
          <w:sz w:val="24"/>
          <w:szCs w:val="24"/>
        </w:rPr>
        <w:t xml:space="preserve">. </w:t>
      </w:r>
      <w:r w:rsidR="00C20A9F">
        <w:rPr>
          <w:rFonts w:ascii="Times New Roman" w:hAnsi="Times New Roman" w:cs="Times New Roman"/>
          <w:sz w:val="24"/>
          <w:szCs w:val="24"/>
        </w:rPr>
        <w:t xml:space="preserve">It is the national, announced price increase </w:t>
      </w:r>
      <w:r w:rsidR="00182A02">
        <w:rPr>
          <w:rFonts w:ascii="Times New Roman" w:hAnsi="Times New Roman" w:cs="Times New Roman"/>
          <w:sz w:val="24"/>
          <w:szCs w:val="24"/>
        </w:rPr>
        <w:t>that is the basis of a PDAB review</w:t>
      </w:r>
      <w:r w:rsidR="00DA124C">
        <w:rPr>
          <w:rFonts w:ascii="Times New Roman" w:hAnsi="Times New Roman" w:cs="Times New Roman"/>
          <w:sz w:val="24"/>
          <w:szCs w:val="24"/>
        </w:rPr>
        <w:t xml:space="preserve">. </w:t>
      </w:r>
      <w:r w:rsidR="0036395D">
        <w:rPr>
          <w:rFonts w:ascii="Times New Roman" w:hAnsi="Times New Roman" w:cs="Times New Roman"/>
          <w:sz w:val="24"/>
          <w:szCs w:val="24"/>
        </w:rPr>
        <w:t>A UPL would mean that the supply chain does not get to affect</w:t>
      </w:r>
      <w:r w:rsidR="004E5D45">
        <w:rPr>
          <w:rFonts w:ascii="Times New Roman" w:hAnsi="Times New Roman" w:cs="Times New Roman"/>
          <w:sz w:val="24"/>
          <w:szCs w:val="24"/>
        </w:rPr>
        <w:t>/change what consumers will pay.</w:t>
      </w:r>
    </w:p>
    <w:p w14:paraId="3B1E55AC" w14:textId="77777777" w:rsidR="00B901A3" w:rsidRPr="007D27DA" w:rsidRDefault="00B901A3" w:rsidP="004F48B8">
      <w:pPr>
        <w:rPr>
          <w:rFonts w:ascii="Times New Roman" w:hAnsi="Times New Roman"/>
          <w:b/>
          <w:u w:val="single"/>
        </w:rPr>
      </w:pPr>
    </w:p>
    <w:p w14:paraId="15C96BE6" w14:textId="6DD926BE" w:rsidR="00B901A3" w:rsidRPr="00E029CC" w:rsidRDefault="004F2001" w:rsidP="004F48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lastRenderedPageBreak/>
        <w:t>PhRMA:</w:t>
      </w:r>
      <w:r>
        <w:rPr>
          <w:b/>
          <w:bCs/>
        </w:rPr>
        <w:t xml:space="preserve"> </w:t>
      </w:r>
      <w:r w:rsidR="00B901A3" w:rsidRPr="00E029CC">
        <w:rPr>
          <w:rFonts w:ascii="Times New Roman" w:hAnsi="Times New Roman"/>
          <w:b/>
        </w:rPr>
        <w:t xml:space="preserve">The biopharmaceutical industry is </w:t>
      </w:r>
      <w:r w:rsidR="006E4292">
        <w:rPr>
          <w:rFonts w:ascii="Times New Roman" w:hAnsi="Times New Roman"/>
          <w:b/>
        </w:rPr>
        <w:t xml:space="preserve">already </w:t>
      </w:r>
      <w:r w:rsidR="00B901A3" w:rsidRPr="00E029CC">
        <w:rPr>
          <w:rFonts w:ascii="Times New Roman" w:hAnsi="Times New Roman"/>
          <w:b/>
        </w:rPr>
        <w:t xml:space="preserve">heavily regulated and discloses significant information to the public. </w:t>
      </w:r>
    </w:p>
    <w:p w14:paraId="6B3D03CF" w14:textId="214AFCDA" w:rsidR="00B901A3" w:rsidRDefault="00B901A3" w:rsidP="004F48B8">
      <w:pPr>
        <w:contextualSpacing/>
        <w:rPr>
          <w:rFonts w:ascii="Times New Roman" w:hAnsi="Times New Roman"/>
        </w:rPr>
      </w:pPr>
    </w:p>
    <w:p w14:paraId="189EEE27" w14:textId="2CBA675E" w:rsidR="00084E3C" w:rsidRDefault="004F2001" w:rsidP="004F48B8">
      <w:pPr>
        <w:contextualSpacing/>
        <w:rPr>
          <w:rFonts w:ascii="Times New Roman" w:hAnsi="Times New Roman"/>
        </w:rPr>
      </w:pPr>
      <w:r w:rsidRPr="0005077A">
        <w:rPr>
          <w:rFonts w:ascii="Times New Roman" w:hAnsi="Times New Roman"/>
          <w:i/>
          <w:iCs/>
        </w:rPr>
        <w:t>Response:</w:t>
      </w:r>
      <w:r>
        <w:rPr>
          <w:rFonts w:ascii="Times New Roman" w:hAnsi="Times New Roman"/>
        </w:rPr>
        <w:t xml:space="preserve"> </w:t>
      </w:r>
      <w:r w:rsidR="00BF1419">
        <w:rPr>
          <w:rFonts w:ascii="Times New Roman" w:hAnsi="Times New Roman"/>
        </w:rPr>
        <w:t xml:space="preserve">It is correct that the </w:t>
      </w:r>
      <w:r w:rsidR="00B56700">
        <w:rPr>
          <w:rFonts w:ascii="Times New Roman" w:hAnsi="Times New Roman"/>
        </w:rPr>
        <w:t xml:space="preserve">biopharmaceutical industry must comply with </w:t>
      </w:r>
      <w:r w:rsidR="006E4292">
        <w:rPr>
          <w:rFonts w:ascii="Times New Roman" w:hAnsi="Times New Roman"/>
        </w:rPr>
        <w:t xml:space="preserve">regulatory </w:t>
      </w:r>
      <w:r w:rsidR="00B56700">
        <w:rPr>
          <w:rFonts w:ascii="Times New Roman" w:hAnsi="Times New Roman"/>
        </w:rPr>
        <w:t>scientific standards, manufacturing standards and marketing standards</w:t>
      </w:r>
      <w:r w:rsidR="00DA124C">
        <w:rPr>
          <w:rFonts w:ascii="Times New Roman" w:hAnsi="Times New Roman"/>
        </w:rPr>
        <w:t xml:space="preserve">. </w:t>
      </w:r>
      <w:r w:rsidR="00E029CC">
        <w:rPr>
          <w:rFonts w:ascii="Times New Roman" w:hAnsi="Times New Roman"/>
        </w:rPr>
        <w:t>It is also</w:t>
      </w:r>
      <w:r w:rsidR="00084E3C">
        <w:rPr>
          <w:rFonts w:ascii="Times New Roman" w:hAnsi="Times New Roman"/>
        </w:rPr>
        <w:t xml:space="preserve"> co</w:t>
      </w:r>
      <w:r w:rsidR="00E029CC">
        <w:rPr>
          <w:rFonts w:ascii="Times New Roman" w:hAnsi="Times New Roman"/>
        </w:rPr>
        <w:t xml:space="preserve">rrect that </w:t>
      </w:r>
      <w:r w:rsidR="003976A7">
        <w:rPr>
          <w:rFonts w:ascii="Times New Roman" w:hAnsi="Times New Roman"/>
        </w:rPr>
        <w:t xml:space="preserve">hospitals, clinics, laboratories, nursing homes, wholesalers, and pharmacies are </w:t>
      </w:r>
      <w:r w:rsidR="00BF1419">
        <w:rPr>
          <w:rFonts w:ascii="Times New Roman" w:hAnsi="Times New Roman"/>
        </w:rPr>
        <w:t>heavily regulated</w:t>
      </w:r>
      <w:r w:rsidR="00281020">
        <w:rPr>
          <w:rFonts w:ascii="Times New Roman" w:hAnsi="Times New Roman"/>
        </w:rPr>
        <w:t xml:space="preserve"> for safety and clinical care</w:t>
      </w:r>
      <w:r w:rsidR="00DA124C">
        <w:rPr>
          <w:rFonts w:ascii="Times New Roman" w:hAnsi="Times New Roman"/>
        </w:rPr>
        <w:t xml:space="preserve">. </w:t>
      </w:r>
    </w:p>
    <w:p w14:paraId="42C4C666" w14:textId="105969A5" w:rsidR="00281020" w:rsidRDefault="00281020" w:rsidP="004F48B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difference is that the pharmaceutical industry</w:t>
      </w:r>
      <w:r w:rsidR="00E6410D">
        <w:rPr>
          <w:rFonts w:ascii="Times New Roman" w:hAnsi="Times New Roman"/>
        </w:rPr>
        <w:t xml:space="preserve"> prices are not regulated whereas most other healthcare industry </w:t>
      </w:r>
      <w:r w:rsidR="0007254B">
        <w:rPr>
          <w:rFonts w:ascii="Times New Roman" w:hAnsi="Times New Roman"/>
        </w:rPr>
        <w:t>entities are regulated in the amount they can change for services</w:t>
      </w:r>
      <w:r w:rsidR="00DA124C">
        <w:rPr>
          <w:rFonts w:ascii="Times New Roman" w:hAnsi="Times New Roman"/>
        </w:rPr>
        <w:t xml:space="preserve">. </w:t>
      </w:r>
      <w:r w:rsidR="0007254B">
        <w:rPr>
          <w:rFonts w:ascii="Times New Roman" w:hAnsi="Times New Roman"/>
        </w:rPr>
        <w:t xml:space="preserve">Those entities </w:t>
      </w:r>
      <w:r w:rsidR="009B31F4">
        <w:rPr>
          <w:rFonts w:ascii="Times New Roman" w:hAnsi="Times New Roman"/>
        </w:rPr>
        <w:t>whose fees are not regulated are price takers, not price setters</w:t>
      </w:r>
      <w:r w:rsidR="00DA124C">
        <w:rPr>
          <w:rFonts w:ascii="Times New Roman" w:hAnsi="Times New Roman"/>
        </w:rPr>
        <w:t xml:space="preserve">. </w:t>
      </w:r>
      <w:r w:rsidR="009B31F4">
        <w:rPr>
          <w:rFonts w:ascii="Times New Roman" w:hAnsi="Times New Roman"/>
        </w:rPr>
        <w:t xml:space="preserve">The market works to constrain what </w:t>
      </w:r>
      <w:r w:rsidR="005E5C0B">
        <w:rPr>
          <w:rFonts w:ascii="Times New Roman" w:hAnsi="Times New Roman"/>
        </w:rPr>
        <w:t xml:space="preserve">non-pharma healthcare entities can </w:t>
      </w:r>
      <w:r w:rsidR="00824933">
        <w:rPr>
          <w:rFonts w:ascii="Times New Roman" w:hAnsi="Times New Roman"/>
        </w:rPr>
        <w:t>charge or what they will be paid</w:t>
      </w:r>
      <w:r w:rsidR="00DA124C">
        <w:rPr>
          <w:rFonts w:ascii="Times New Roman" w:hAnsi="Times New Roman"/>
        </w:rPr>
        <w:t xml:space="preserve">. </w:t>
      </w:r>
    </w:p>
    <w:p w14:paraId="5256EE87" w14:textId="34E6CCB1" w:rsidR="00824933" w:rsidRDefault="00824933" w:rsidP="004F48B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Our problem is that the biopharmaceutical prices are not </w:t>
      </w:r>
      <w:r w:rsidR="00086905">
        <w:rPr>
          <w:rFonts w:ascii="Times New Roman" w:hAnsi="Times New Roman"/>
        </w:rPr>
        <w:t>regulated,</w:t>
      </w:r>
      <w:r>
        <w:rPr>
          <w:rFonts w:ascii="Times New Roman" w:hAnsi="Times New Roman"/>
        </w:rPr>
        <w:t xml:space="preserve"> and the market does not work to constrain those costs</w:t>
      </w:r>
      <w:r w:rsidR="00DA124C">
        <w:rPr>
          <w:rFonts w:ascii="Times New Roman" w:hAnsi="Times New Roman"/>
        </w:rPr>
        <w:t xml:space="preserve">. </w:t>
      </w:r>
    </w:p>
    <w:p w14:paraId="47933550" w14:textId="33650066" w:rsidR="0054511E" w:rsidRDefault="0054511E" w:rsidP="004F48B8">
      <w:pPr>
        <w:contextualSpacing/>
        <w:rPr>
          <w:rFonts w:ascii="Times New Roman" w:hAnsi="Times New Roman"/>
        </w:rPr>
      </w:pPr>
    </w:p>
    <w:p w14:paraId="44CD1721" w14:textId="710AF2EA" w:rsidR="0054511E" w:rsidRPr="00DC0FE1" w:rsidRDefault="004F2001" w:rsidP="004F48B8">
      <w:pPr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PhRMA:</w:t>
      </w:r>
      <w:r>
        <w:rPr>
          <w:b/>
          <w:bCs/>
        </w:rPr>
        <w:t xml:space="preserve"> </w:t>
      </w:r>
      <w:r w:rsidR="0054511E" w:rsidRPr="00DC0FE1">
        <w:rPr>
          <w:rFonts w:ascii="Times New Roman" w:hAnsi="Times New Roman"/>
          <w:b/>
          <w:bCs/>
        </w:rPr>
        <w:t xml:space="preserve">A PDAB </w:t>
      </w:r>
      <w:r w:rsidR="00DC0FE1" w:rsidRPr="00DC0FE1">
        <w:rPr>
          <w:rFonts w:ascii="Times New Roman" w:hAnsi="Times New Roman"/>
          <w:b/>
          <w:bCs/>
        </w:rPr>
        <w:t>looks at</w:t>
      </w:r>
      <w:r w:rsidR="0054511E" w:rsidRPr="00DC0FE1">
        <w:rPr>
          <w:rFonts w:ascii="Times New Roman" w:hAnsi="Times New Roman"/>
          <w:b/>
          <w:bCs/>
        </w:rPr>
        <w:t xml:space="preserve"> the costs of approved medicines while ignoring </w:t>
      </w:r>
      <w:r w:rsidR="00120009" w:rsidRPr="00DC0FE1">
        <w:rPr>
          <w:rFonts w:ascii="Times New Roman" w:hAnsi="Times New Roman"/>
          <w:b/>
          <w:bCs/>
        </w:rPr>
        <w:t>the costs of the</w:t>
      </w:r>
      <w:r w:rsidR="0054511E" w:rsidRPr="00DC0FE1">
        <w:rPr>
          <w:rFonts w:ascii="Times New Roman" w:hAnsi="Times New Roman"/>
          <w:b/>
          <w:bCs/>
        </w:rPr>
        <w:t xml:space="preserve"> drug discovery and development process</w:t>
      </w:r>
      <w:r w:rsidR="003A66DF" w:rsidRPr="00DC0FE1">
        <w:rPr>
          <w:rFonts w:ascii="Times New Roman" w:hAnsi="Times New Roman"/>
          <w:b/>
          <w:bCs/>
        </w:rPr>
        <w:t>, and the fa</w:t>
      </w:r>
      <w:r w:rsidR="0054511E" w:rsidRPr="00DC0FE1">
        <w:rPr>
          <w:rFonts w:ascii="Times New Roman" w:hAnsi="Times New Roman"/>
          <w:b/>
          <w:bCs/>
        </w:rPr>
        <w:t>ilur</w:t>
      </w:r>
      <w:r w:rsidR="003A66DF" w:rsidRPr="00DC0FE1">
        <w:rPr>
          <w:rFonts w:ascii="Times New Roman" w:hAnsi="Times New Roman"/>
          <w:b/>
          <w:bCs/>
        </w:rPr>
        <w:t>es in that process</w:t>
      </w:r>
      <w:r w:rsidR="00DA124C" w:rsidRPr="00DC0FE1">
        <w:rPr>
          <w:rFonts w:ascii="Times New Roman" w:hAnsi="Times New Roman"/>
          <w:b/>
          <w:bCs/>
        </w:rPr>
        <w:t xml:space="preserve">. </w:t>
      </w:r>
    </w:p>
    <w:p w14:paraId="2C7AF1EB" w14:textId="7EF79EF4" w:rsidR="00D30AE6" w:rsidRDefault="004F2001" w:rsidP="004F48B8">
      <w:pPr>
        <w:contextualSpacing/>
        <w:rPr>
          <w:rFonts w:ascii="Times New Roman" w:hAnsi="Times New Roman"/>
        </w:rPr>
      </w:pPr>
      <w:r w:rsidRPr="0005077A">
        <w:rPr>
          <w:rFonts w:ascii="Times New Roman" w:hAnsi="Times New Roman"/>
          <w:i/>
          <w:iCs/>
        </w:rPr>
        <w:t>Response:</w:t>
      </w:r>
      <w:r>
        <w:rPr>
          <w:rFonts w:ascii="Times New Roman" w:hAnsi="Times New Roman"/>
        </w:rPr>
        <w:t xml:space="preserve"> </w:t>
      </w:r>
      <w:r w:rsidR="003A66DF">
        <w:rPr>
          <w:rFonts w:ascii="Times New Roman" w:hAnsi="Times New Roman"/>
        </w:rPr>
        <w:t>A PDAB would look at whatever data a pharmaceutical company cho</w:t>
      </w:r>
      <w:r w:rsidR="00E14AA7">
        <w:rPr>
          <w:rFonts w:ascii="Times New Roman" w:hAnsi="Times New Roman"/>
        </w:rPr>
        <w:t>o</w:t>
      </w:r>
      <w:r w:rsidR="003A66DF">
        <w:rPr>
          <w:rFonts w:ascii="Times New Roman" w:hAnsi="Times New Roman"/>
        </w:rPr>
        <w:t>se</w:t>
      </w:r>
      <w:r w:rsidR="00E14AA7">
        <w:rPr>
          <w:rFonts w:ascii="Times New Roman" w:hAnsi="Times New Roman"/>
        </w:rPr>
        <w:t>s</w:t>
      </w:r>
      <w:r w:rsidR="003A66DF">
        <w:rPr>
          <w:rFonts w:ascii="Times New Roman" w:hAnsi="Times New Roman"/>
        </w:rPr>
        <w:t xml:space="preserve"> to provide to explain the cost of its product. </w:t>
      </w:r>
      <w:r w:rsidR="00D30AE6">
        <w:rPr>
          <w:rFonts w:ascii="Times New Roman" w:hAnsi="Times New Roman"/>
        </w:rPr>
        <w:t>Manufacturer p</w:t>
      </w:r>
      <w:r w:rsidR="006D6568">
        <w:rPr>
          <w:rFonts w:ascii="Times New Roman" w:hAnsi="Times New Roman"/>
        </w:rPr>
        <w:t>rovision of information is completely voluntary for a manufacturer</w:t>
      </w:r>
      <w:r w:rsidR="00DA124C">
        <w:rPr>
          <w:rFonts w:ascii="Times New Roman" w:hAnsi="Times New Roman"/>
        </w:rPr>
        <w:t xml:space="preserve">. </w:t>
      </w:r>
      <w:r w:rsidR="006D6568">
        <w:rPr>
          <w:rFonts w:ascii="Times New Roman" w:hAnsi="Times New Roman"/>
        </w:rPr>
        <w:t>Confidentiality of that information is assured.</w:t>
      </w:r>
    </w:p>
    <w:p w14:paraId="242D6346" w14:textId="7C464BB8" w:rsidR="0016050D" w:rsidRDefault="0016050D" w:rsidP="004F48B8">
      <w:pPr>
        <w:contextualSpacing/>
        <w:rPr>
          <w:rFonts w:ascii="Times New Roman" w:hAnsi="Times New Roman"/>
        </w:rPr>
      </w:pPr>
    </w:p>
    <w:p w14:paraId="3DE1A3F0" w14:textId="34C50CA2" w:rsidR="004275A2" w:rsidRDefault="0016050D" w:rsidP="004F48B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PhRMA states that it take</w:t>
      </w:r>
      <w:r w:rsidR="00C86DA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more than 10 years and $2.6 billion to bring a drug to market.</w:t>
      </w:r>
      <w:r w:rsidR="00761770">
        <w:rPr>
          <w:rFonts w:ascii="Times New Roman" w:hAnsi="Times New Roman"/>
        </w:rPr>
        <w:t xml:space="preserve"> Federal law in recent years has created </w:t>
      </w:r>
      <w:r w:rsidR="0065736B">
        <w:rPr>
          <w:rFonts w:ascii="Times New Roman" w:hAnsi="Times New Roman"/>
        </w:rPr>
        <w:t>several</w:t>
      </w:r>
      <w:r w:rsidR="00761770">
        <w:rPr>
          <w:rFonts w:ascii="Times New Roman" w:hAnsi="Times New Roman"/>
        </w:rPr>
        <w:t xml:space="preserve"> ‘expedited’ </w:t>
      </w:r>
      <w:r w:rsidR="00E12B99">
        <w:rPr>
          <w:rFonts w:ascii="Times New Roman" w:hAnsi="Times New Roman"/>
        </w:rPr>
        <w:t xml:space="preserve">FDA approval pathways for companies – faster review, lessening clinical trial standards </w:t>
      </w:r>
      <w:r w:rsidR="00CD6DAE">
        <w:rPr>
          <w:rFonts w:ascii="Times New Roman" w:hAnsi="Times New Roman"/>
        </w:rPr>
        <w:t>regarding</w:t>
      </w:r>
      <w:r w:rsidR="00E12B99">
        <w:rPr>
          <w:rFonts w:ascii="Times New Roman" w:hAnsi="Times New Roman"/>
        </w:rPr>
        <w:t xml:space="preserve"> </w:t>
      </w:r>
      <w:r w:rsidR="008600E3">
        <w:rPr>
          <w:rFonts w:ascii="Times New Roman" w:hAnsi="Times New Roman"/>
        </w:rPr>
        <w:t xml:space="preserve">number of participants and/or how efficacy </w:t>
      </w:r>
      <w:r w:rsidR="00A82CC2">
        <w:rPr>
          <w:rFonts w:ascii="Times New Roman" w:hAnsi="Times New Roman"/>
        </w:rPr>
        <w:t>is measured</w:t>
      </w:r>
      <w:r w:rsidR="00DA124C">
        <w:rPr>
          <w:rFonts w:ascii="Times New Roman" w:hAnsi="Times New Roman"/>
        </w:rPr>
        <w:t xml:space="preserve">. </w:t>
      </w:r>
      <w:r w:rsidR="00A82CC2">
        <w:rPr>
          <w:rFonts w:ascii="Times New Roman" w:hAnsi="Times New Roman"/>
        </w:rPr>
        <w:t xml:space="preserve">A reduction in time and cost of trials for </w:t>
      </w:r>
      <w:r w:rsidR="00991856">
        <w:rPr>
          <w:rFonts w:ascii="Times New Roman" w:hAnsi="Times New Roman"/>
        </w:rPr>
        <w:t>most</w:t>
      </w:r>
      <w:r w:rsidR="00A82CC2">
        <w:rPr>
          <w:rFonts w:ascii="Times New Roman" w:hAnsi="Times New Roman"/>
        </w:rPr>
        <w:t xml:space="preserve"> drug approvals in recent years makes the </w:t>
      </w:r>
      <w:r w:rsidR="00DA6499">
        <w:rPr>
          <w:rFonts w:ascii="Times New Roman" w:hAnsi="Times New Roman"/>
        </w:rPr>
        <w:t>10-year-old</w:t>
      </w:r>
      <w:r w:rsidR="00A82CC2">
        <w:rPr>
          <w:rFonts w:ascii="Times New Roman" w:hAnsi="Times New Roman"/>
        </w:rPr>
        <w:t>, $2.6 billion data point</w:t>
      </w:r>
      <w:r w:rsidR="004275A2">
        <w:rPr>
          <w:rFonts w:ascii="Times New Roman" w:hAnsi="Times New Roman"/>
        </w:rPr>
        <w:t xml:space="preserve"> </w:t>
      </w:r>
      <w:r w:rsidR="00E45B30">
        <w:rPr>
          <w:rFonts w:ascii="Times New Roman" w:hAnsi="Times New Roman"/>
        </w:rPr>
        <w:t xml:space="preserve">outdated and </w:t>
      </w:r>
      <w:r w:rsidR="0088181E">
        <w:rPr>
          <w:rFonts w:ascii="Times New Roman" w:hAnsi="Times New Roman"/>
        </w:rPr>
        <w:t>irrelevant</w:t>
      </w:r>
      <w:r w:rsidR="00DA124C">
        <w:rPr>
          <w:rFonts w:ascii="Times New Roman" w:hAnsi="Times New Roman"/>
        </w:rPr>
        <w:t xml:space="preserve">. </w:t>
      </w:r>
    </w:p>
    <w:p w14:paraId="4132A097" w14:textId="4E47A230" w:rsidR="004275A2" w:rsidRDefault="004275A2" w:rsidP="004F48B8">
      <w:pPr>
        <w:contextualSpacing/>
        <w:rPr>
          <w:rFonts w:ascii="Times New Roman" w:hAnsi="Times New Roman"/>
        </w:rPr>
      </w:pPr>
    </w:p>
    <w:p w14:paraId="2D25E368" w14:textId="7966BB25" w:rsidR="004275A2" w:rsidRDefault="004275A2" w:rsidP="004F48B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More recently,</w:t>
      </w:r>
      <w:r w:rsidR="0083777F">
        <w:rPr>
          <w:rFonts w:ascii="Times New Roman" w:hAnsi="Times New Roman"/>
        </w:rPr>
        <w:t xml:space="preserve"> researchers</w:t>
      </w:r>
      <w:r w:rsidR="00D051B3">
        <w:rPr>
          <w:rStyle w:val="FootnoteReference"/>
          <w:rFonts w:ascii="Times New Roman" w:hAnsi="Times New Roman"/>
        </w:rPr>
        <w:footnoteReference w:id="1"/>
      </w:r>
      <w:r w:rsidR="0083777F">
        <w:rPr>
          <w:rFonts w:ascii="Times New Roman" w:hAnsi="Times New Roman"/>
        </w:rPr>
        <w:t xml:space="preserve"> found that the average cost of drug approval clinical trials</w:t>
      </w:r>
      <w:r w:rsidR="00827D82">
        <w:rPr>
          <w:rFonts w:ascii="Times New Roman" w:hAnsi="Times New Roman"/>
        </w:rPr>
        <w:t xml:space="preserve"> was just $48 million</w:t>
      </w:r>
      <w:r w:rsidR="009878E9">
        <w:rPr>
          <w:rFonts w:ascii="Times New Roman" w:hAnsi="Times New Roman"/>
        </w:rPr>
        <w:t xml:space="preserve"> for 101 drugs approved 2015-2017</w:t>
      </w:r>
      <w:r w:rsidR="00B23288">
        <w:rPr>
          <w:rFonts w:ascii="Times New Roman" w:hAnsi="Times New Roman"/>
        </w:rPr>
        <w:t xml:space="preserve"> that </w:t>
      </w:r>
      <w:r w:rsidR="009D09DC">
        <w:rPr>
          <w:rFonts w:ascii="Times New Roman" w:hAnsi="Times New Roman"/>
        </w:rPr>
        <w:t>required 225 clinical trials</w:t>
      </w:r>
      <w:r w:rsidR="00DA124C">
        <w:rPr>
          <w:rFonts w:ascii="Times New Roman" w:hAnsi="Times New Roman"/>
        </w:rPr>
        <w:t xml:space="preserve">. </w:t>
      </w:r>
      <w:r w:rsidR="009D09DC">
        <w:rPr>
          <w:rFonts w:ascii="Times New Roman" w:hAnsi="Times New Roman"/>
        </w:rPr>
        <w:t xml:space="preserve">The per trial cost ranged from </w:t>
      </w:r>
      <w:r w:rsidR="00C424FB">
        <w:rPr>
          <w:rFonts w:ascii="Times New Roman" w:hAnsi="Times New Roman"/>
        </w:rPr>
        <w:t xml:space="preserve">$20 million to $102 million. It is hard to see how to get to $2.8 billion/drug </w:t>
      </w:r>
      <w:r w:rsidR="00C424FB" w:rsidRPr="00D051B3">
        <w:rPr>
          <w:rFonts w:ascii="Times New Roman" w:hAnsi="Times New Roman"/>
          <w:i/>
          <w:iCs/>
        </w:rPr>
        <w:t xml:space="preserve">average </w:t>
      </w:r>
      <w:r w:rsidR="00C424FB">
        <w:rPr>
          <w:rFonts w:ascii="Times New Roman" w:hAnsi="Times New Roman"/>
        </w:rPr>
        <w:t>R&amp;D cost</w:t>
      </w:r>
      <w:r w:rsidR="00DA124C">
        <w:rPr>
          <w:rFonts w:ascii="Times New Roman" w:hAnsi="Times New Roman"/>
        </w:rPr>
        <w:t xml:space="preserve">. </w:t>
      </w:r>
    </w:p>
    <w:p w14:paraId="376C2662" w14:textId="4B094ADA" w:rsidR="00486163" w:rsidRDefault="00486163" w:rsidP="004F48B8">
      <w:pPr>
        <w:contextualSpacing/>
        <w:rPr>
          <w:rFonts w:ascii="Times New Roman" w:hAnsi="Times New Roman"/>
        </w:rPr>
      </w:pPr>
    </w:p>
    <w:p w14:paraId="3E897173" w14:textId="798743DD" w:rsidR="00486163" w:rsidRDefault="00486163" w:rsidP="004F48B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Other recent work</w:t>
      </w:r>
      <w:r w:rsidR="00E260A8">
        <w:rPr>
          <w:rStyle w:val="FootnoteReference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us</w:t>
      </w:r>
      <w:r w:rsidR="00BE032C">
        <w:rPr>
          <w:rFonts w:ascii="Times New Roman" w:hAnsi="Times New Roman"/>
        </w:rPr>
        <w:t xml:space="preserve">ed SEC filings for 63 drugs </w:t>
      </w:r>
      <w:r w:rsidR="00374D25">
        <w:rPr>
          <w:rFonts w:ascii="Times New Roman" w:hAnsi="Times New Roman"/>
        </w:rPr>
        <w:t xml:space="preserve">(of 355) </w:t>
      </w:r>
      <w:r w:rsidR="00BE032C">
        <w:rPr>
          <w:rFonts w:ascii="Times New Roman" w:hAnsi="Times New Roman"/>
        </w:rPr>
        <w:t>approved between 2009-2018</w:t>
      </w:r>
      <w:r w:rsidR="00374D25">
        <w:rPr>
          <w:rFonts w:ascii="Times New Roman" w:hAnsi="Times New Roman"/>
        </w:rPr>
        <w:t xml:space="preserve">. They looked at reported R&amp;D </w:t>
      </w:r>
      <w:r w:rsidR="00957CBF">
        <w:rPr>
          <w:rFonts w:ascii="Times New Roman" w:hAnsi="Times New Roman"/>
        </w:rPr>
        <w:t>and</w:t>
      </w:r>
      <w:r w:rsidR="00174D44">
        <w:rPr>
          <w:rFonts w:ascii="Times New Roman" w:hAnsi="Times New Roman"/>
        </w:rPr>
        <w:t xml:space="preserve"> estimated</w:t>
      </w:r>
      <w:r w:rsidR="00957CBF">
        <w:rPr>
          <w:rFonts w:ascii="Times New Roman" w:hAnsi="Times New Roman"/>
        </w:rPr>
        <w:t xml:space="preserve"> opportunity costs to arrive at an average </w:t>
      </w:r>
      <w:r w:rsidR="0044407E">
        <w:rPr>
          <w:rFonts w:ascii="Times New Roman" w:hAnsi="Times New Roman"/>
        </w:rPr>
        <w:t xml:space="preserve">per drug R&amp;D </w:t>
      </w:r>
      <w:r w:rsidR="00957CBF">
        <w:rPr>
          <w:rFonts w:ascii="Times New Roman" w:hAnsi="Times New Roman"/>
        </w:rPr>
        <w:t>cost of $1.3 billion</w:t>
      </w:r>
      <w:r w:rsidR="00DA124C">
        <w:rPr>
          <w:rFonts w:ascii="Times New Roman" w:hAnsi="Times New Roman"/>
        </w:rPr>
        <w:t xml:space="preserve">. </w:t>
      </w:r>
      <w:r w:rsidR="0044407E">
        <w:rPr>
          <w:rFonts w:ascii="Times New Roman" w:hAnsi="Times New Roman"/>
        </w:rPr>
        <w:t xml:space="preserve">SEC filings require companies to report financial information that is important to </w:t>
      </w:r>
      <w:r w:rsidR="00B24E63">
        <w:rPr>
          <w:rFonts w:ascii="Times New Roman" w:hAnsi="Times New Roman"/>
        </w:rPr>
        <w:t xml:space="preserve">current and potential shareholders, so lesser cost product R&amp;D </w:t>
      </w:r>
      <w:r w:rsidR="00124EC8">
        <w:rPr>
          <w:rFonts w:ascii="Times New Roman" w:hAnsi="Times New Roman"/>
        </w:rPr>
        <w:t>that is not material to shareholder decision making would not be reported</w:t>
      </w:r>
      <w:r w:rsidR="00325F4B">
        <w:rPr>
          <w:rFonts w:ascii="Times New Roman" w:hAnsi="Times New Roman"/>
        </w:rPr>
        <w:t xml:space="preserve">. </w:t>
      </w:r>
      <w:r w:rsidR="00086905">
        <w:rPr>
          <w:rFonts w:ascii="Times New Roman" w:hAnsi="Times New Roman"/>
        </w:rPr>
        <w:t>So,</w:t>
      </w:r>
      <w:r w:rsidR="00B06B48">
        <w:rPr>
          <w:rFonts w:ascii="Times New Roman" w:hAnsi="Times New Roman"/>
        </w:rPr>
        <w:t xml:space="preserve"> it is hard to see how average drug R&amp;D is $2.8 billio</w:t>
      </w:r>
      <w:r w:rsidR="00697CDE">
        <w:rPr>
          <w:rFonts w:ascii="Times New Roman" w:hAnsi="Times New Roman"/>
        </w:rPr>
        <w:t>n</w:t>
      </w:r>
      <w:r w:rsidR="00DA124C">
        <w:rPr>
          <w:rFonts w:ascii="Times New Roman" w:hAnsi="Times New Roman"/>
        </w:rPr>
        <w:t xml:space="preserve">. </w:t>
      </w:r>
    </w:p>
    <w:p w14:paraId="60D23F2B" w14:textId="03687CF5" w:rsidR="00B51CD4" w:rsidRDefault="00B51CD4" w:rsidP="004F48B8">
      <w:pPr>
        <w:contextualSpacing/>
        <w:rPr>
          <w:rFonts w:ascii="Times New Roman" w:hAnsi="Times New Roman"/>
        </w:rPr>
      </w:pPr>
    </w:p>
    <w:p w14:paraId="40F44AC2" w14:textId="21520C39" w:rsidR="00B901A3" w:rsidRPr="00BE3B75" w:rsidRDefault="004F2001" w:rsidP="004F48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PhRMA:</w:t>
      </w:r>
      <w:r>
        <w:rPr>
          <w:b/>
          <w:bCs/>
        </w:rPr>
        <w:t xml:space="preserve"> </w:t>
      </w:r>
      <w:r w:rsidR="00D43CEC" w:rsidRPr="00BE3B75">
        <w:rPr>
          <w:rFonts w:ascii="Times New Roman" w:hAnsi="Times New Roman"/>
          <w:b/>
        </w:rPr>
        <w:t xml:space="preserve">A PDAB </w:t>
      </w:r>
      <w:r w:rsidR="00D43CEC" w:rsidRPr="00C311C6">
        <w:rPr>
          <w:rFonts w:ascii="Times New Roman" w:hAnsi="Times New Roman"/>
          <w:b/>
          <w:i/>
          <w:iCs/>
        </w:rPr>
        <w:t>could</w:t>
      </w:r>
      <w:r w:rsidR="00D43CEC" w:rsidRPr="00BE3B75">
        <w:rPr>
          <w:rFonts w:ascii="Times New Roman" w:hAnsi="Times New Roman"/>
          <w:b/>
        </w:rPr>
        <w:t xml:space="preserve"> adversely impact </w:t>
      </w:r>
      <w:r w:rsidR="00B901A3" w:rsidRPr="00BE3B75">
        <w:rPr>
          <w:rFonts w:ascii="Times New Roman" w:hAnsi="Times New Roman"/>
          <w:b/>
        </w:rPr>
        <w:t xml:space="preserve">innovation and harm </w:t>
      </w:r>
      <w:r w:rsidR="00D43CEC" w:rsidRPr="00BE3B75">
        <w:rPr>
          <w:rFonts w:ascii="Times New Roman" w:hAnsi="Times New Roman"/>
          <w:b/>
        </w:rPr>
        <w:t xml:space="preserve">a state’s </w:t>
      </w:r>
      <w:r w:rsidR="00B901A3" w:rsidRPr="00BE3B75">
        <w:rPr>
          <w:rFonts w:ascii="Times New Roman" w:hAnsi="Times New Roman"/>
          <w:b/>
        </w:rPr>
        <w:t>economy.</w:t>
      </w:r>
    </w:p>
    <w:p w14:paraId="4ED28ADD" w14:textId="27F9C448" w:rsidR="00B901A3" w:rsidRDefault="004F2001" w:rsidP="004F48B8">
      <w:pPr>
        <w:rPr>
          <w:rFonts w:ascii="Times New Roman" w:hAnsi="Times New Roman"/>
        </w:rPr>
      </w:pPr>
      <w:r w:rsidRPr="0005077A">
        <w:rPr>
          <w:rFonts w:ascii="Times New Roman" w:hAnsi="Times New Roman"/>
          <w:i/>
          <w:iCs/>
        </w:rPr>
        <w:t>Response:</w:t>
      </w:r>
      <w:r>
        <w:rPr>
          <w:rFonts w:ascii="Times New Roman" w:hAnsi="Times New Roman"/>
        </w:rPr>
        <w:t xml:space="preserve"> </w:t>
      </w:r>
      <w:r w:rsidR="00181BE7">
        <w:rPr>
          <w:rFonts w:ascii="Times New Roman" w:hAnsi="Times New Roman"/>
        </w:rPr>
        <w:t>Large pharmaceutical companies generate ~</w:t>
      </w:r>
      <w:r w:rsidR="008207C6">
        <w:rPr>
          <w:rFonts w:ascii="Times New Roman" w:hAnsi="Times New Roman"/>
        </w:rPr>
        <w:t xml:space="preserve">40-50% of </w:t>
      </w:r>
      <w:r w:rsidR="00086905">
        <w:rPr>
          <w:rFonts w:ascii="Times New Roman" w:hAnsi="Times New Roman"/>
        </w:rPr>
        <w:t>their</w:t>
      </w:r>
      <w:r w:rsidR="00181BE7">
        <w:rPr>
          <w:rFonts w:ascii="Times New Roman" w:hAnsi="Times New Roman"/>
        </w:rPr>
        <w:t xml:space="preserve"> </w:t>
      </w:r>
      <w:r w:rsidR="00E260A8">
        <w:rPr>
          <w:rFonts w:ascii="Times New Roman" w:hAnsi="Times New Roman"/>
        </w:rPr>
        <w:t>worldwide</w:t>
      </w:r>
      <w:r w:rsidR="008207C6">
        <w:rPr>
          <w:rFonts w:ascii="Times New Roman" w:hAnsi="Times New Roman"/>
        </w:rPr>
        <w:t xml:space="preserve"> revenues from the US market</w:t>
      </w:r>
      <w:r w:rsidR="00DA124C">
        <w:rPr>
          <w:rFonts w:ascii="Times New Roman" w:hAnsi="Times New Roman"/>
        </w:rPr>
        <w:t xml:space="preserve">. </w:t>
      </w:r>
      <w:r w:rsidR="00E260A8">
        <w:rPr>
          <w:rFonts w:ascii="Times New Roman" w:hAnsi="Times New Roman"/>
        </w:rPr>
        <w:t>It has been estimated</w:t>
      </w:r>
      <w:r w:rsidR="009A71B3">
        <w:rPr>
          <w:rStyle w:val="FootnoteReference"/>
          <w:rFonts w:ascii="Times New Roman" w:hAnsi="Times New Roman"/>
        </w:rPr>
        <w:footnoteReference w:id="3"/>
      </w:r>
      <w:r w:rsidR="00E260A8">
        <w:rPr>
          <w:rFonts w:ascii="Times New Roman" w:hAnsi="Times New Roman"/>
        </w:rPr>
        <w:t xml:space="preserve"> </w:t>
      </w:r>
      <w:r w:rsidR="00D947C2">
        <w:rPr>
          <w:rFonts w:ascii="Times New Roman" w:hAnsi="Times New Roman"/>
        </w:rPr>
        <w:t xml:space="preserve">that </w:t>
      </w:r>
      <w:r w:rsidR="00A85661">
        <w:rPr>
          <w:rFonts w:ascii="Times New Roman" w:hAnsi="Times New Roman"/>
        </w:rPr>
        <w:t xml:space="preserve">for the 20 top-selling drugs in the global market, </w:t>
      </w:r>
      <w:r w:rsidR="00D947C2" w:rsidRPr="00B0109F">
        <w:rPr>
          <w:rFonts w:ascii="Times New Roman" w:hAnsi="Times New Roman"/>
          <w:i/>
          <w:iCs/>
        </w:rPr>
        <w:t xml:space="preserve">just the </w:t>
      </w:r>
      <w:r w:rsidR="00B17006" w:rsidRPr="00B0109F">
        <w:rPr>
          <w:rFonts w:ascii="Times New Roman" w:hAnsi="Times New Roman"/>
          <w:i/>
          <w:iCs/>
        </w:rPr>
        <w:t>difference</w:t>
      </w:r>
      <w:r w:rsidR="00B17006">
        <w:rPr>
          <w:rFonts w:ascii="Times New Roman" w:hAnsi="Times New Roman"/>
        </w:rPr>
        <w:t xml:space="preserve"> between US and EU prices</w:t>
      </w:r>
      <w:r w:rsidR="00B0109F">
        <w:rPr>
          <w:rFonts w:ascii="Times New Roman" w:hAnsi="Times New Roman"/>
        </w:rPr>
        <w:t xml:space="preserve"> is enough revenue to finance 176% of a </w:t>
      </w:r>
      <w:r w:rsidR="007E7DC0">
        <w:rPr>
          <w:rFonts w:ascii="Times New Roman" w:hAnsi="Times New Roman"/>
        </w:rPr>
        <w:t xml:space="preserve">US-based </w:t>
      </w:r>
      <w:r w:rsidR="00B0109F">
        <w:rPr>
          <w:rFonts w:ascii="Times New Roman" w:hAnsi="Times New Roman"/>
        </w:rPr>
        <w:t>company’s global R&amp;D</w:t>
      </w:r>
      <w:r w:rsidR="007E7DC0">
        <w:rPr>
          <w:rFonts w:ascii="Times New Roman" w:hAnsi="Times New Roman"/>
        </w:rPr>
        <w:t xml:space="preserve"> (and 143% of global R&amp;D spend for </w:t>
      </w:r>
      <w:r w:rsidR="00A85661">
        <w:rPr>
          <w:rFonts w:ascii="Times New Roman" w:hAnsi="Times New Roman"/>
        </w:rPr>
        <w:t>ex-US based companies)</w:t>
      </w:r>
      <w:r w:rsidR="00DA124C">
        <w:rPr>
          <w:rFonts w:ascii="Times New Roman" w:hAnsi="Times New Roman"/>
        </w:rPr>
        <w:t xml:space="preserve">. </w:t>
      </w:r>
      <w:r w:rsidR="00B0109F">
        <w:rPr>
          <w:rFonts w:ascii="Times New Roman" w:hAnsi="Times New Roman"/>
        </w:rPr>
        <w:t>A state PDAB, with upper payment limits on some drugs</w:t>
      </w:r>
      <w:r w:rsidR="001E423B">
        <w:rPr>
          <w:rFonts w:ascii="Times New Roman" w:hAnsi="Times New Roman"/>
        </w:rPr>
        <w:t>,</w:t>
      </w:r>
      <w:r w:rsidR="00B0109F">
        <w:rPr>
          <w:rFonts w:ascii="Times New Roman" w:hAnsi="Times New Roman"/>
        </w:rPr>
        <w:t xml:space="preserve"> is not going to change that revenue dynamic</w:t>
      </w:r>
      <w:r w:rsidR="00DA124C">
        <w:rPr>
          <w:rFonts w:ascii="Times New Roman" w:hAnsi="Times New Roman"/>
        </w:rPr>
        <w:t xml:space="preserve">. </w:t>
      </w:r>
    </w:p>
    <w:p w14:paraId="4D94EB2A" w14:textId="77777777" w:rsidR="009E4FCD" w:rsidRPr="007D27DA" w:rsidRDefault="009E4FCD" w:rsidP="004F48B8">
      <w:pPr>
        <w:rPr>
          <w:rFonts w:ascii="Times New Roman" w:hAnsi="Times New Roman"/>
        </w:rPr>
      </w:pPr>
    </w:p>
    <w:p w14:paraId="2D99B998" w14:textId="26205A91" w:rsidR="009A71B3" w:rsidRDefault="004F2001" w:rsidP="004F48B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>
        <w:rPr>
          <w:rFonts w:ascii="Times New Roman" w:hAnsi="Times New Roman"/>
          <w:b/>
          <w:bCs/>
        </w:rPr>
        <w:lastRenderedPageBreak/>
        <w:t>PhRMA:</w:t>
      </w:r>
      <w:r>
        <w:rPr>
          <w:b/>
          <w:bCs/>
        </w:rPr>
        <w:t xml:space="preserve">  The industry </w:t>
      </w:r>
      <w:r w:rsidR="009E4FCD" w:rsidRPr="004549F7">
        <w:rPr>
          <w:rFonts w:ascii="Times New Roman" w:eastAsiaTheme="minorHAnsi" w:hAnsi="Times New Roman"/>
          <w:b/>
          <w:bCs/>
          <w:color w:val="000000"/>
        </w:rPr>
        <w:t xml:space="preserve">offers to assist to develop </w:t>
      </w:r>
      <w:r w:rsidR="00B901A3" w:rsidRPr="004549F7">
        <w:rPr>
          <w:rFonts w:ascii="Times New Roman" w:eastAsiaTheme="minorHAnsi" w:hAnsi="Times New Roman"/>
          <w:b/>
          <w:bCs/>
          <w:color w:val="000000"/>
        </w:rPr>
        <w:t xml:space="preserve">market-based solutions that help patients better afford their medicines at the pharmacy counter. </w:t>
      </w:r>
    </w:p>
    <w:p w14:paraId="6B31C59E" w14:textId="797F043D" w:rsidR="00DB7537" w:rsidRDefault="004F2001" w:rsidP="004F48B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 w:rsidRPr="0005077A">
        <w:rPr>
          <w:rFonts w:ascii="Times New Roman" w:hAnsi="Times New Roman"/>
          <w:i/>
          <w:iCs/>
        </w:rPr>
        <w:t>Response:</w:t>
      </w:r>
      <w:r>
        <w:rPr>
          <w:rFonts w:ascii="Times New Roman" w:hAnsi="Times New Roman"/>
        </w:rPr>
        <w:t xml:space="preserve"> </w:t>
      </w:r>
      <w:r w:rsidR="00DB7537">
        <w:rPr>
          <w:rFonts w:ascii="Times New Roman" w:eastAsiaTheme="minorHAnsi" w:hAnsi="Times New Roman"/>
          <w:color w:val="000000"/>
        </w:rPr>
        <w:t xml:space="preserve">PhRMA’s market-based solutions do not address the </w:t>
      </w:r>
      <w:r w:rsidR="00FF6B64">
        <w:rPr>
          <w:rFonts w:ascii="Times New Roman" w:eastAsiaTheme="minorHAnsi" w:hAnsi="Times New Roman"/>
          <w:color w:val="000000"/>
        </w:rPr>
        <w:t>excessive cost</w:t>
      </w:r>
      <w:r w:rsidR="00DB7537">
        <w:rPr>
          <w:rFonts w:ascii="Times New Roman" w:eastAsiaTheme="minorHAnsi" w:hAnsi="Times New Roman"/>
          <w:color w:val="000000"/>
        </w:rPr>
        <w:t xml:space="preserve"> of drugs that broadly, adversely</w:t>
      </w:r>
      <w:r w:rsidR="001E423B">
        <w:rPr>
          <w:rFonts w:ascii="Times New Roman" w:eastAsiaTheme="minorHAnsi" w:hAnsi="Times New Roman"/>
          <w:color w:val="000000"/>
        </w:rPr>
        <w:t>,</w:t>
      </w:r>
      <w:r w:rsidR="00DB7537">
        <w:rPr>
          <w:rFonts w:ascii="Times New Roman" w:eastAsiaTheme="minorHAnsi" w:hAnsi="Times New Roman"/>
          <w:color w:val="000000"/>
        </w:rPr>
        <w:t xml:space="preserve"> impact </w:t>
      </w:r>
      <w:r w:rsidR="000532FD">
        <w:rPr>
          <w:rFonts w:ascii="Times New Roman" w:eastAsiaTheme="minorHAnsi" w:hAnsi="Times New Roman"/>
          <w:color w:val="000000"/>
        </w:rPr>
        <w:t>public and private healthcare financing systems</w:t>
      </w:r>
      <w:r w:rsidR="00FF6B64">
        <w:rPr>
          <w:rFonts w:ascii="Times New Roman" w:eastAsiaTheme="minorHAnsi" w:hAnsi="Times New Roman"/>
          <w:color w:val="000000"/>
        </w:rPr>
        <w:t xml:space="preserve">. </w:t>
      </w:r>
      <w:r w:rsidR="000532FD">
        <w:rPr>
          <w:rFonts w:ascii="Times New Roman" w:eastAsiaTheme="minorHAnsi" w:hAnsi="Times New Roman"/>
          <w:color w:val="000000"/>
        </w:rPr>
        <w:t>PhRMA is only concerned with</w:t>
      </w:r>
      <w:r w:rsidR="005D43C7">
        <w:rPr>
          <w:rFonts w:ascii="Times New Roman" w:eastAsiaTheme="minorHAnsi" w:hAnsi="Times New Roman"/>
          <w:color w:val="000000"/>
        </w:rPr>
        <w:t>:</w:t>
      </w:r>
      <w:r w:rsidR="000532FD">
        <w:rPr>
          <w:rFonts w:ascii="Times New Roman" w:eastAsiaTheme="minorHAnsi" w:hAnsi="Times New Roman"/>
          <w:color w:val="000000"/>
        </w:rPr>
        <w:t xml:space="preserve"> </w:t>
      </w:r>
    </w:p>
    <w:p w14:paraId="78CB79A2" w14:textId="3FAC297A" w:rsidR="000532FD" w:rsidRPr="006D302B" w:rsidRDefault="000532FD" w:rsidP="004F48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 w:rsidRPr="006D302B">
        <w:rPr>
          <w:rFonts w:ascii="Times New Roman" w:eastAsiaTheme="minorHAnsi" w:hAnsi="Times New Roman"/>
          <w:color w:val="000000"/>
        </w:rPr>
        <w:t>Preserving their market list price</w:t>
      </w:r>
      <w:r w:rsidR="00661B9C" w:rsidRPr="006D302B">
        <w:rPr>
          <w:rFonts w:ascii="Times New Roman" w:eastAsiaTheme="minorHAnsi" w:hAnsi="Times New Roman"/>
          <w:color w:val="000000"/>
        </w:rPr>
        <w:t xml:space="preserve"> as “the price” </w:t>
      </w:r>
      <w:r w:rsidR="005D43C7">
        <w:rPr>
          <w:rFonts w:ascii="Times New Roman" w:eastAsiaTheme="minorHAnsi" w:hAnsi="Times New Roman"/>
          <w:color w:val="000000"/>
        </w:rPr>
        <w:t xml:space="preserve">so </w:t>
      </w:r>
      <w:r w:rsidR="00661B9C" w:rsidRPr="006D302B">
        <w:rPr>
          <w:rFonts w:ascii="Times New Roman" w:eastAsiaTheme="minorHAnsi" w:hAnsi="Times New Roman"/>
          <w:color w:val="000000"/>
        </w:rPr>
        <w:t xml:space="preserve">that other countries </w:t>
      </w:r>
      <w:r w:rsidR="008C757A" w:rsidRPr="006D302B">
        <w:rPr>
          <w:rFonts w:ascii="Times New Roman" w:eastAsiaTheme="minorHAnsi" w:hAnsi="Times New Roman"/>
          <w:color w:val="000000"/>
        </w:rPr>
        <w:t>will not</w:t>
      </w:r>
      <w:r w:rsidR="00661B9C" w:rsidRPr="006D302B">
        <w:rPr>
          <w:rFonts w:ascii="Times New Roman" w:eastAsiaTheme="minorHAnsi" w:hAnsi="Times New Roman"/>
          <w:color w:val="000000"/>
        </w:rPr>
        <w:t xml:space="preserve"> use </w:t>
      </w:r>
      <w:r w:rsidR="005D43C7">
        <w:rPr>
          <w:rFonts w:ascii="Times New Roman" w:eastAsiaTheme="minorHAnsi" w:hAnsi="Times New Roman"/>
          <w:color w:val="000000"/>
        </w:rPr>
        <w:t xml:space="preserve">it </w:t>
      </w:r>
      <w:r w:rsidR="00661B9C" w:rsidRPr="006D302B">
        <w:rPr>
          <w:rFonts w:ascii="Times New Roman" w:eastAsiaTheme="minorHAnsi" w:hAnsi="Times New Roman"/>
          <w:color w:val="000000"/>
        </w:rPr>
        <w:t xml:space="preserve">to set </w:t>
      </w:r>
      <w:r w:rsidR="00086905" w:rsidRPr="006D302B">
        <w:rPr>
          <w:rFonts w:ascii="Times New Roman" w:eastAsiaTheme="minorHAnsi" w:hAnsi="Times New Roman"/>
          <w:color w:val="000000"/>
        </w:rPr>
        <w:t>its</w:t>
      </w:r>
      <w:r w:rsidR="00661B9C" w:rsidRPr="006D302B">
        <w:rPr>
          <w:rFonts w:ascii="Times New Roman" w:eastAsiaTheme="minorHAnsi" w:hAnsi="Times New Roman"/>
          <w:color w:val="000000"/>
        </w:rPr>
        <w:t xml:space="preserve"> drug prices</w:t>
      </w:r>
      <w:r w:rsidR="005D43C7">
        <w:rPr>
          <w:rFonts w:ascii="Times New Roman" w:eastAsiaTheme="minorHAnsi" w:hAnsi="Times New Roman"/>
          <w:color w:val="000000"/>
        </w:rPr>
        <w:t>.</w:t>
      </w:r>
    </w:p>
    <w:p w14:paraId="2E4841D4" w14:textId="0BDDB4AE" w:rsidR="00661B9C" w:rsidRPr="006D302B" w:rsidRDefault="00661B9C" w:rsidP="004F48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 w:rsidRPr="006D302B">
        <w:rPr>
          <w:rFonts w:ascii="Times New Roman" w:eastAsiaTheme="minorHAnsi" w:hAnsi="Times New Roman"/>
          <w:color w:val="000000"/>
        </w:rPr>
        <w:t xml:space="preserve">Keeping </w:t>
      </w:r>
      <w:r w:rsidR="00DA6499">
        <w:rPr>
          <w:rFonts w:ascii="Times New Roman" w:eastAsiaTheme="minorHAnsi" w:hAnsi="Times New Roman"/>
          <w:color w:val="000000"/>
        </w:rPr>
        <w:t>secret,</w:t>
      </w:r>
      <w:r w:rsidR="00991856">
        <w:rPr>
          <w:rFonts w:ascii="Times New Roman" w:eastAsiaTheme="minorHAnsi" w:hAnsi="Times New Roman"/>
          <w:color w:val="000000"/>
        </w:rPr>
        <w:t xml:space="preserve"> </w:t>
      </w:r>
      <w:r w:rsidRPr="006D302B">
        <w:rPr>
          <w:rFonts w:ascii="Times New Roman" w:eastAsiaTheme="minorHAnsi" w:hAnsi="Times New Roman"/>
          <w:color w:val="000000"/>
        </w:rPr>
        <w:t xml:space="preserve">the amount of their drug-specific price concessions </w:t>
      </w:r>
      <w:r w:rsidR="00483D62" w:rsidRPr="006D302B">
        <w:rPr>
          <w:rFonts w:ascii="Times New Roman" w:eastAsiaTheme="minorHAnsi" w:hAnsi="Times New Roman"/>
          <w:color w:val="000000"/>
        </w:rPr>
        <w:t xml:space="preserve">to any and all </w:t>
      </w:r>
      <w:r w:rsidR="0065736B" w:rsidRPr="006D302B">
        <w:rPr>
          <w:rFonts w:ascii="Times New Roman" w:eastAsiaTheme="minorHAnsi" w:hAnsi="Times New Roman"/>
          <w:color w:val="000000"/>
        </w:rPr>
        <w:t>customers</w:t>
      </w:r>
      <w:r w:rsidR="005D43C7">
        <w:rPr>
          <w:rFonts w:ascii="Times New Roman" w:eastAsiaTheme="minorHAnsi" w:hAnsi="Times New Roman"/>
          <w:color w:val="000000"/>
        </w:rPr>
        <w:t>.</w:t>
      </w:r>
    </w:p>
    <w:p w14:paraId="19D78FE7" w14:textId="036C142F" w:rsidR="00483D62" w:rsidRDefault="005D43C7" w:rsidP="004F48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S</w:t>
      </w:r>
      <w:r w:rsidR="00483D62" w:rsidRPr="006D302B">
        <w:rPr>
          <w:rFonts w:ascii="Times New Roman" w:eastAsiaTheme="minorHAnsi" w:hAnsi="Times New Roman"/>
          <w:color w:val="000000"/>
        </w:rPr>
        <w:t xml:space="preserve">omehow getting those price concessions </w:t>
      </w:r>
      <w:r w:rsidR="00C04E92">
        <w:rPr>
          <w:rFonts w:ascii="Times New Roman" w:eastAsiaTheme="minorHAnsi" w:hAnsi="Times New Roman"/>
          <w:color w:val="000000"/>
        </w:rPr>
        <w:t xml:space="preserve">directly </w:t>
      </w:r>
      <w:r w:rsidR="00566A0A">
        <w:rPr>
          <w:rFonts w:ascii="Times New Roman" w:eastAsiaTheme="minorHAnsi" w:hAnsi="Times New Roman"/>
          <w:color w:val="000000"/>
        </w:rPr>
        <w:t xml:space="preserve">to </w:t>
      </w:r>
      <w:r w:rsidR="002E52EA" w:rsidRPr="006D302B">
        <w:rPr>
          <w:rFonts w:ascii="Times New Roman" w:eastAsiaTheme="minorHAnsi" w:hAnsi="Times New Roman"/>
          <w:color w:val="000000"/>
        </w:rPr>
        <w:t xml:space="preserve">the patient to reduce out of pocket costs </w:t>
      </w:r>
      <w:r w:rsidR="002E52EA" w:rsidRPr="00C04E92">
        <w:rPr>
          <w:rFonts w:ascii="Times New Roman" w:eastAsiaTheme="minorHAnsi" w:hAnsi="Times New Roman"/>
          <w:i/>
          <w:iCs/>
          <w:color w:val="000000"/>
        </w:rPr>
        <w:t>while</w:t>
      </w:r>
      <w:r w:rsidR="002E52EA" w:rsidRPr="006D302B">
        <w:rPr>
          <w:rFonts w:ascii="Times New Roman" w:eastAsiaTheme="minorHAnsi" w:hAnsi="Times New Roman"/>
          <w:color w:val="000000"/>
        </w:rPr>
        <w:t xml:space="preserve"> maintaining secrecy of the </w:t>
      </w:r>
      <w:r w:rsidR="006D302B" w:rsidRPr="006D302B">
        <w:rPr>
          <w:rFonts w:ascii="Times New Roman" w:eastAsiaTheme="minorHAnsi" w:hAnsi="Times New Roman"/>
          <w:color w:val="000000"/>
        </w:rPr>
        <w:t>price concession amount</w:t>
      </w:r>
      <w:r w:rsidR="00C04E92">
        <w:rPr>
          <w:rFonts w:ascii="Times New Roman" w:eastAsiaTheme="minorHAnsi" w:hAnsi="Times New Roman"/>
          <w:color w:val="000000"/>
        </w:rPr>
        <w:t xml:space="preserve">. </w:t>
      </w:r>
    </w:p>
    <w:p w14:paraId="4B498449" w14:textId="3AC735CB" w:rsidR="004C19DC" w:rsidRDefault="004C19DC" w:rsidP="004F48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Eliminating rebates without committing to dropping the price of drugs</w:t>
      </w:r>
      <w:r w:rsidR="003B1C69">
        <w:rPr>
          <w:rFonts w:ascii="Times New Roman" w:eastAsiaTheme="minorHAnsi" w:hAnsi="Times New Roman"/>
          <w:color w:val="000000"/>
        </w:rPr>
        <w:t xml:space="preserve"> to a level equal to the rebate.</w:t>
      </w:r>
    </w:p>
    <w:p w14:paraId="16433E8E" w14:textId="2CC39DB0" w:rsidR="00CA2F82" w:rsidRDefault="00CA2F82" w:rsidP="004F48B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</w:p>
    <w:p w14:paraId="67852314" w14:textId="5A729CF4" w:rsidR="00CA2F82" w:rsidRPr="004F2001" w:rsidRDefault="00CA2F82" w:rsidP="004F48B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u w:val="single"/>
        </w:rPr>
      </w:pPr>
      <w:r w:rsidRPr="004F2001">
        <w:rPr>
          <w:rFonts w:ascii="Times New Roman" w:eastAsiaTheme="minorHAnsi" w:hAnsi="Times New Roman"/>
          <w:b/>
          <w:bCs/>
          <w:color w:val="000000"/>
          <w:u w:val="single"/>
        </w:rPr>
        <w:t xml:space="preserve">How PDAB </w:t>
      </w:r>
      <w:r w:rsidR="005D0BF4" w:rsidRPr="004F2001">
        <w:rPr>
          <w:rFonts w:ascii="Times New Roman" w:eastAsiaTheme="minorHAnsi" w:hAnsi="Times New Roman"/>
          <w:b/>
          <w:bCs/>
          <w:color w:val="000000"/>
          <w:u w:val="single"/>
        </w:rPr>
        <w:t xml:space="preserve">(model) </w:t>
      </w:r>
      <w:r w:rsidRPr="004F2001">
        <w:rPr>
          <w:rFonts w:ascii="Times New Roman" w:eastAsiaTheme="minorHAnsi" w:hAnsi="Times New Roman"/>
          <w:b/>
          <w:bCs/>
          <w:color w:val="000000"/>
          <w:u w:val="single"/>
        </w:rPr>
        <w:t>legislation</w:t>
      </w:r>
      <w:r w:rsidR="005D0BF4" w:rsidRPr="004F2001">
        <w:rPr>
          <w:rFonts w:ascii="Times New Roman" w:eastAsiaTheme="minorHAnsi" w:hAnsi="Times New Roman"/>
          <w:b/>
          <w:bCs/>
          <w:color w:val="000000"/>
          <w:u w:val="single"/>
        </w:rPr>
        <w:t xml:space="preserve"> addresses PhRMA objections to </w:t>
      </w:r>
      <w:r w:rsidR="005D0BF4" w:rsidRPr="00D6506A">
        <w:rPr>
          <w:rFonts w:ascii="Times New Roman" w:eastAsiaTheme="minorHAnsi" w:hAnsi="Times New Roman"/>
          <w:b/>
          <w:bCs/>
          <w:i/>
          <w:iCs/>
          <w:color w:val="000000"/>
          <w:u w:val="single"/>
        </w:rPr>
        <w:t xml:space="preserve">other </w:t>
      </w:r>
      <w:r w:rsidR="005D0BF4" w:rsidRPr="004F2001">
        <w:rPr>
          <w:rFonts w:ascii="Times New Roman" w:eastAsiaTheme="minorHAnsi" w:hAnsi="Times New Roman"/>
          <w:b/>
          <w:bCs/>
          <w:color w:val="000000"/>
          <w:u w:val="single"/>
        </w:rPr>
        <w:t xml:space="preserve">proposed </w:t>
      </w:r>
      <w:r w:rsidR="001E13D7" w:rsidRPr="004F2001">
        <w:rPr>
          <w:rFonts w:ascii="Times New Roman" w:eastAsiaTheme="minorHAnsi" w:hAnsi="Times New Roman"/>
          <w:b/>
          <w:bCs/>
          <w:color w:val="000000"/>
          <w:u w:val="single"/>
        </w:rPr>
        <w:t>drug cost containment policies</w:t>
      </w:r>
      <w:r w:rsidR="001E13D7" w:rsidRPr="004F2001">
        <w:rPr>
          <w:rFonts w:ascii="Times New Roman" w:eastAsiaTheme="minorHAnsi" w:hAnsi="Times New Roman"/>
          <w:color w:val="000000"/>
          <w:u w:val="single"/>
        </w:rPr>
        <w:t>:</w:t>
      </w:r>
    </w:p>
    <w:p w14:paraId="79FC3113" w14:textId="5AF3B072" w:rsidR="001E13D7" w:rsidRDefault="001E13D7" w:rsidP="004F48B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</w:p>
    <w:p w14:paraId="51C4D9B5" w14:textId="2B20E23B" w:rsidR="001E13D7" w:rsidRPr="00CD17E8" w:rsidRDefault="001E13D7" w:rsidP="004F48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 w:rsidRPr="00CD17E8">
        <w:rPr>
          <w:rFonts w:ascii="Times New Roman" w:eastAsiaTheme="minorHAnsi" w:hAnsi="Times New Roman"/>
          <w:color w:val="000000"/>
        </w:rPr>
        <w:t>No data is required of a manufacturer</w:t>
      </w:r>
      <w:r w:rsidR="004706A6">
        <w:rPr>
          <w:rFonts w:ascii="Times New Roman" w:eastAsiaTheme="minorHAnsi" w:hAnsi="Times New Roman"/>
          <w:color w:val="000000"/>
        </w:rPr>
        <w:t>.</w:t>
      </w:r>
    </w:p>
    <w:p w14:paraId="6E53768E" w14:textId="23A1DCAA" w:rsidR="001E13D7" w:rsidRPr="00CD17E8" w:rsidRDefault="001E13D7" w:rsidP="004F48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 w:rsidRPr="00CD17E8">
        <w:rPr>
          <w:rFonts w:ascii="Times New Roman" w:eastAsiaTheme="minorHAnsi" w:hAnsi="Times New Roman"/>
          <w:color w:val="000000"/>
        </w:rPr>
        <w:t xml:space="preserve">Any </w:t>
      </w:r>
      <w:r w:rsidR="00267AE6">
        <w:rPr>
          <w:rFonts w:ascii="Times New Roman" w:eastAsiaTheme="minorHAnsi" w:hAnsi="Times New Roman"/>
          <w:color w:val="000000"/>
        </w:rPr>
        <w:t xml:space="preserve">industry </w:t>
      </w:r>
      <w:r w:rsidRPr="00CD17E8">
        <w:rPr>
          <w:rFonts w:ascii="Times New Roman" w:eastAsiaTheme="minorHAnsi" w:hAnsi="Times New Roman"/>
          <w:color w:val="000000"/>
        </w:rPr>
        <w:t xml:space="preserve">data </w:t>
      </w:r>
      <w:r w:rsidR="00267AE6">
        <w:rPr>
          <w:rFonts w:ascii="Times New Roman" w:eastAsiaTheme="minorHAnsi" w:hAnsi="Times New Roman"/>
          <w:color w:val="000000"/>
        </w:rPr>
        <w:t xml:space="preserve">that is voluntarily </w:t>
      </w:r>
      <w:r w:rsidRPr="00CD17E8">
        <w:rPr>
          <w:rFonts w:ascii="Times New Roman" w:eastAsiaTheme="minorHAnsi" w:hAnsi="Times New Roman"/>
          <w:color w:val="000000"/>
        </w:rPr>
        <w:t>provided remains confidential</w:t>
      </w:r>
      <w:r w:rsidR="00267AE6">
        <w:rPr>
          <w:rFonts w:ascii="Times New Roman" w:eastAsiaTheme="minorHAnsi" w:hAnsi="Times New Roman"/>
          <w:color w:val="000000"/>
        </w:rPr>
        <w:t>.</w:t>
      </w:r>
    </w:p>
    <w:p w14:paraId="1CF25F35" w14:textId="38E4C22A" w:rsidR="00D82613" w:rsidRPr="00CD17E8" w:rsidRDefault="00D82613" w:rsidP="004F48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 w:rsidRPr="00CD17E8">
        <w:rPr>
          <w:rFonts w:ascii="Times New Roman" w:eastAsiaTheme="minorHAnsi" w:hAnsi="Times New Roman"/>
          <w:color w:val="000000"/>
        </w:rPr>
        <w:t xml:space="preserve">PhRMA has a seat on the </w:t>
      </w:r>
      <w:r w:rsidR="00267AE6">
        <w:rPr>
          <w:rFonts w:ascii="Times New Roman" w:eastAsiaTheme="minorHAnsi" w:hAnsi="Times New Roman"/>
          <w:color w:val="000000"/>
        </w:rPr>
        <w:t xml:space="preserve">PDAB </w:t>
      </w:r>
      <w:r w:rsidRPr="00CD17E8">
        <w:rPr>
          <w:rFonts w:ascii="Times New Roman" w:eastAsiaTheme="minorHAnsi" w:hAnsi="Times New Roman"/>
          <w:color w:val="000000"/>
        </w:rPr>
        <w:t xml:space="preserve">advisory </w:t>
      </w:r>
      <w:r w:rsidR="00DA6499" w:rsidRPr="00CD17E8">
        <w:rPr>
          <w:rFonts w:ascii="Times New Roman" w:eastAsiaTheme="minorHAnsi" w:hAnsi="Times New Roman"/>
          <w:color w:val="000000"/>
        </w:rPr>
        <w:t>council</w:t>
      </w:r>
      <w:r w:rsidR="00DA6499">
        <w:rPr>
          <w:rFonts w:ascii="Times New Roman" w:eastAsiaTheme="minorHAnsi" w:hAnsi="Times New Roman"/>
          <w:color w:val="000000"/>
        </w:rPr>
        <w:t>.</w:t>
      </w:r>
      <w:r w:rsidRPr="00CD17E8">
        <w:rPr>
          <w:rFonts w:ascii="Times New Roman" w:eastAsiaTheme="minorHAnsi" w:hAnsi="Times New Roman"/>
          <w:color w:val="000000"/>
        </w:rPr>
        <w:t xml:space="preserve"> </w:t>
      </w:r>
    </w:p>
    <w:p w14:paraId="43374E82" w14:textId="7CF15B84" w:rsidR="00D82613" w:rsidRPr="00CD17E8" w:rsidRDefault="00D82613" w:rsidP="004F48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 w:rsidRPr="00CD17E8">
        <w:rPr>
          <w:rFonts w:ascii="Times New Roman" w:eastAsiaTheme="minorHAnsi" w:hAnsi="Times New Roman"/>
          <w:color w:val="000000"/>
        </w:rPr>
        <w:t>The</w:t>
      </w:r>
      <w:r w:rsidR="002F50DD" w:rsidRPr="00CD17E8">
        <w:rPr>
          <w:rFonts w:ascii="Times New Roman" w:eastAsiaTheme="minorHAnsi" w:hAnsi="Times New Roman"/>
          <w:color w:val="000000"/>
        </w:rPr>
        <w:t xml:space="preserve"> PDAB can use US market-based price concession data to </w:t>
      </w:r>
      <w:r w:rsidR="008B011A" w:rsidRPr="00CD17E8">
        <w:rPr>
          <w:rFonts w:ascii="Times New Roman" w:eastAsiaTheme="minorHAnsi" w:hAnsi="Times New Roman"/>
          <w:color w:val="000000"/>
        </w:rPr>
        <w:t xml:space="preserve">determine a UPL (rather than </w:t>
      </w:r>
      <w:r w:rsidR="00204AD5">
        <w:rPr>
          <w:rFonts w:ascii="Times New Roman" w:eastAsiaTheme="minorHAnsi" w:hAnsi="Times New Roman"/>
          <w:color w:val="000000"/>
        </w:rPr>
        <w:t xml:space="preserve">international </w:t>
      </w:r>
      <w:r w:rsidR="008B011A" w:rsidRPr="00CD17E8">
        <w:rPr>
          <w:rFonts w:ascii="Times New Roman" w:eastAsiaTheme="minorHAnsi" w:hAnsi="Times New Roman"/>
          <w:color w:val="000000"/>
        </w:rPr>
        <w:t>pric</w:t>
      </w:r>
      <w:r w:rsidR="00204AD5">
        <w:rPr>
          <w:rFonts w:ascii="Times New Roman" w:eastAsiaTheme="minorHAnsi" w:hAnsi="Times New Roman"/>
          <w:color w:val="000000"/>
        </w:rPr>
        <w:t>es</w:t>
      </w:r>
      <w:r w:rsidR="008B011A" w:rsidRPr="00CD17E8">
        <w:rPr>
          <w:rFonts w:ascii="Times New Roman" w:eastAsiaTheme="minorHAnsi" w:hAnsi="Times New Roman"/>
          <w:color w:val="000000"/>
        </w:rPr>
        <w:t xml:space="preserve"> or other </w:t>
      </w:r>
      <w:r w:rsidR="00C45CE4">
        <w:rPr>
          <w:rFonts w:ascii="Times New Roman" w:eastAsiaTheme="minorHAnsi" w:hAnsi="Times New Roman"/>
          <w:color w:val="000000"/>
        </w:rPr>
        <w:t xml:space="preserve">methods that are not </w:t>
      </w:r>
      <w:r w:rsidR="0093645B" w:rsidRPr="00CD17E8">
        <w:rPr>
          <w:rFonts w:ascii="Times New Roman" w:eastAsiaTheme="minorHAnsi" w:hAnsi="Times New Roman"/>
          <w:color w:val="000000"/>
        </w:rPr>
        <w:t>market</w:t>
      </w:r>
      <w:r w:rsidR="00C45CE4">
        <w:rPr>
          <w:rFonts w:ascii="Times New Roman" w:eastAsiaTheme="minorHAnsi" w:hAnsi="Times New Roman"/>
          <w:color w:val="000000"/>
        </w:rPr>
        <w:t>-based</w:t>
      </w:r>
      <w:r w:rsidR="008B011A" w:rsidRPr="00CD17E8">
        <w:rPr>
          <w:rFonts w:ascii="Times New Roman" w:eastAsiaTheme="minorHAnsi" w:hAnsi="Times New Roman"/>
          <w:color w:val="000000"/>
        </w:rPr>
        <w:t>)</w:t>
      </w:r>
      <w:r w:rsidR="00C45CE4">
        <w:rPr>
          <w:rFonts w:ascii="Times New Roman" w:eastAsiaTheme="minorHAnsi" w:hAnsi="Times New Roman"/>
          <w:color w:val="000000"/>
        </w:rPr>
        <w:t>.</w:t>
      </w:r>
    </w:p>
    <w:p w14:paraId="73CA42F7" w14:textId="3BC7DA55" w:rsidR="00D56750" w:rsidRPr="00CD17E8" w:rsidRDefault="00D56750" w:rsidP="004F48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 w:rsidRPr="00CD17E8">
        <w:rPr>
          <w:rFonts w:ascii="Times New Roman" w:eastAsiaTheme="minorHAnsi" w:hAnsi="Times New Roman"/>
          <w:color w:val="000000"/>
        </w:rPr>
        <w:t>The PDAB is not punitive</w:t>
      </w:r>
      <w:r w:rsidR="00C45CE4">
        <w:rPr>
          <w:rFonts w:ascii="Times New Roman" w:eastAsiaTheme="minorHAnsi" w:hAnsi="Times New Roman"/>
          <w:color w:val="000000"/>
        </w:rPr>
        <w:t xml:space="preserve"> to drug manufacturers.</w:t>
      </w:r>
    </w:p>
    <w:p w14:paraId="7C80B588" w14:textId="5EDAD565" w:rsidR="00962B90" w:rsidRPr="00CD17E8" w:rsidRDefault="00714FDC" w:rsidP="004F48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 w:rsidRPr="00CD17E8">
        <w:rPr>
          <w:rFonts w:ascii="Times New Roman" w:eastAsiaTheme="minorHAnsi" w:hAnsi="Times New Roman"/>
          <w:color w:val="000000"/>
        </w:rPr>
        <w:t>The PDAB is designed to improve access to important drugs</w:t>
      </w:r>
      <w:r w:rsidR="00962B90" w:rsidRPr="00CD17E8">
        <w:rPr>
          <w:rFonts w:ascii="Times New Roman" w:eastAsiaTheme="minorHAnsi" w:hAnsi="Times New Roman"/>
          <w:color w:val="000000"/>
        </w:rPr>
        <w:t xml:space="preserve"> without no intention to reduce company revenues</w:t>
      </w:r>
    </w:p>
    <w:p w14:paraId="5A09EBE8" w14:textId="7737E0EC" w:rsidR="00714FDC" w:rsidRPr="00CD17E8" w:rsidRDefault="00962B90" w:rsidP="004F48B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 w:rsidRPr="00CD17E8">
        <w:rPr>
          <w:rFonts w:ascii="Times New Roman" w:eastAsiaTheme="minorHAnsi" w:hAnsi="Times New Roman"/>
          <w:color w:val="000000"/>
        </w:rPr>
        <w:t>A PDAB action would increase</w:t>
      </w:r>
      <w:r w:rsidR="00714FDC" w:rsidRPr="00CD17E8">
        <w:rPr>
          <w:rFonts w:ascii="Times New Roman" w:eastAsiaTheme="minorHAnsi" w:hAnsi="Times New Roman"/>
          <w:color w:val="000000"/>
        </w:rPr>
        <w:t xml:space="preserve"> product sales at lower cost relative to </w:t>
      </w:r>
      <w:r w:rsidRPr="00CD17E8">
        <w:rPr>
          <w:rFonts w:ascii="Times New Roman" w:eastAsiaTheme="minorHAnsi" w:hAnsi="Times New Roman"/>
          <w:color w:val="000000"/>
        </w:rPr>
        <w:t>lesser sales at higher cost</w:t>
      </w:r>
      <w:r w:rsidR="00DA124C" w:rsidRPr="00CD17E8">
        <w:rPr>
          <w:rFonts w:ascii="Times New Roman" w:eastAsiaTheme="minorHAnsi" w:hAnsi="Times New Roman"/>
          <w:color w:val="000000"/>
        </w:rPr>
        <w:t xml:space="preserve">. </w:t>
      </w:r>
    </w:p>
    <w:p w14:paraId="32B619E4" w14:textId="0F0C1C38" w:rsidR="00C0620E" w:rsidRDefault="00C0620E" w:rsidP="004F48B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</w:p>
    <w:p w14:paraId="5EA34265" w14:textId="77777777" w:rsidR="00C0620E" w:rsidRPr="006D302B" w:rsidRDefault="00C0620E" w:rsidP="004F48B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</w:p>
    <w:p w14:paraId="5AE27194" w14:textId="77777777" w:rsidR="00B901A3" w:rsidRDefault="00B901A3" w:rsidP="004F48B8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</w:p>
    <w:p w14:paraId="384BB4F6" w14:textId="77777777" w:rsidR="0099402A" w:rsidRDefault="0099402A" w:rsidP="004F48B8"/>
    <w:sectPr w:rsidR="0099402A" w:rsidSect="00A90893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7F09" w14:textId="77777777" w:rsidR="00072A49" w:rsidRDefault="00072A49" w:rsidP="00B901A3">
      <w:r>
        <w:separator/>
      </w:r>
    </w:p>
  </w:endnote>
  <w:endnote w:type="continuationSeparator" w:id="0">
    <w:p w14:paraId="4241E29B" w14:textId="77777777" w:rsidR="00072A49" w:rsidRDefault="00072A49" w:rsidP="00B9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1BED" w14:textId="77777777" w:rsidR="0013011F" w:rsidRDefault="00A11876" w:rsidP="00246AB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4F401F" w14:textId="77777777" w:rsidR="0013011F" w:rsidRDefault="00072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33" w14:textId="3AEF8516" w:rsidR="0013011F" w:rsidRPr="007B15C6" w:rsidRDefault="00A90893">
    <w:pPr>
      <w:pStyle w:val="Footer"/>
      <w:rPr>
        <w:rFonts w:ascii="Times New Roman" w:hAnsi="Times New Roman" w:cs="Times New Roman"/>
        <w:sz w:val="24"/>
        <w:szCs w:val="24"/>
      </w:rPr>
    </w:pPr>
    <w:r w:rsidRPr="00A90893">
      <w:rPr>
        <w:rFonts w:ascii="Times New Roman" w:hAnsi="Times New Roman" w:cs="Times New Roman"/>
        <w:noProof/>
        <w:color w:val="4472C4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BAB26" wp14:editId="4871A42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6471B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A90893">
      <w:rPr>
        <w:rFonts w:ascii="Times New Roman" w:hAnsi="Times New Roman" w:cs="Times New Roman"/>
        <w:color w:val="4472C4" w:themeColor="accent1"/>
        <w:sz w:val="24"/>
        <w:szCs w:val="24"/>
      </w:rPr>
      <w:t xml:space="preserve"> </w:t>
    </w:r>
    <w:r w:rsidRPr="00A90893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 w:rsidRPr="00A90893">
      <w:rPr>
        <w:rFonts w:ascii="Times New Roman" w:eastAsiaTheme="minorEastAsia" w:hAnsi="Times New Roman" w:cs="Times New Roman"/>
        <w:color w:val="4472C4" w:themeColor="accent1"/>
        <w:sz w:val="20"/>
        <w:szCs w:val="20"/>
      </w:rPr>
      <w:fldChar w:fldCharType="begin"/>
    </w:r>
    <w:r w:rsidRPr="00A90893">
      <w:rPr>
        <w:rFonts w:ascii="Times New Roman" w:hAnsi="Times New Roman" w:cs="Times New Roman"/>
        <w:color w:val="4472C4" w:themeColor="accent1"/>
        <w:sz w:val="20"/>
        <w:szCs w:val="20"/>
      </w:rPr>
      <w:instrText xml:space="preserve"> PAGE    \* MERGEFORMAT </w:instrText>
    </w:r>
    <w:r w:rsidRPr="00A90893">
      <w:rPr>
        <w:rFonts w:ascii="Times New Roman" w:eastAsiaTheme="minorEastAsia" w:hAnsi="Times New Roman" w:cs="Times New Roman"/>
        <w:color w:val="4472C4" w:themeColor="accent1"/>
        <w:sz w:val="20"/>
        <w:szCs w:val="20"/>
      </w:rPr>
      <w:fldChar w:fldCharType="separate"/>
    </w:r>
    <w:r w:rsidRPr="00A90893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 w:rsidRPr="00A90893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/ Horvath Health Policy, </w:t>
    </w:r>
    <w:r w:rsidR="00C3037A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January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202</w:t>
    </w:r>
    <w:r w:rsidR="00C3037A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F279" w14:textId="77777777" w:rsidR="00072A49" w:rsidRDefault="00072A49" w:rsidP="00B901A3">
      <w:r>
        <w:separator/>
      </w:r>
    </w:p>
  </w:footnote>
  <w:footnote w:type="continuationSeparator" w:id="0">
    <w:p w14:paraId="4FCF1ED1" w14:textId="77777777" w:rsidR="00072A49" w:rsidRDefault="00072A49" w:rsidP="00B901A3">
      <w:r>
        <w:continuationSeparator/>
      </w:r>
    </w:p>
  </w:footnote>
  <w:footnote w:id="1">
    <w:p w14:paraId="2FEC5633" w14:textId="3C8DDEC7" w:rsidR="00D051B3" w:rsidRDefault="00D051B3">
      <w:pPr>
        <w:pStyle w:val="FootnoteText"/>
      </w:pPr>
      <w:r>
        <w:rPr>
          <w:rStyle w:val="FootnoteReference"/>
        </w:rPr>
        <w:footnoteRef/>
      </w:r>
      <w:r>
        <w:t xml:space="preserve"> BMJ </w:t>
      </w:r>
      <w:r w:rsidR="00D947C2">
        <w:t>June 11</w:t>
      </w:r>
      <w:r>
        <w:t>, 2020</w:t>
      </w:r>
    </w:p>
  </w:footnote>
  <w:footnote w:id="2">
    <w:p w14:paraId="6EF806CB" w14:textId="63200C75" w:rsidR="00E260A8" w:rsidRDefault="00E260A8">
      <w:pPr>
        <w:pStyle w:val="FootnoteText"/>
      </w:pPr>
      <w:r>
        <w:rPr>
          <w:rStyle w:val="FootnoteReference"/>
        </w:rPr>
        <w:footnoteRef/>
      </w:r>
      <w:r>
        <w:t xml:space="preserve"> JAMA</w:t>
      </w:r>
      <w:r w:rsidR="00D947C2">
        <w:t xml:space="preserve"> March 3, 2020</w:t>
      </w:r>
    </w:p>
  </w:footnote>
  <w:footnote w:id="3">
    <w:p w14:paraId="3495A5A4" w14:textId="7C523B53" w:rsidR="009A71B3" w:rsidRDefault="009A71B3">
      <w:pPr>
        <w:pStyle w:val="FootnoteText"/>
      </w:pPr>
      <w:r>
        <w:rPr>
          <w:rStyle w:val="FootnoteReference"/>
        </w:rPr>
        <w:footnoteRef/>
      </w:r>
      <w:r>
        <w:t xml:space="preserve"> Health Affairs Blog March 7,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A4F6" w14:textId="5D2A6695" w:rsidR="00A90893" w:rsidRPr="008B2ACE" w:rsidRDefault="008B2ACE" w:rsidP="008B2ACE">
    <w:pPr>
      <w:pStyle w:val="Header"/>
      <w:jc w:val="center"/>
      <w:rPr>
        <w:sz w:val="28"/>
        <w:szCs w:val="28"/>
      </w:rPr>
    </w:pPr>
    <w:r w:rsidRPr="008B2ACE">
      <w:rPr>
        <w:sz w:val="28"/>
        <w:szCs w:val="28"/>
      </w:rPr>
      <w:t>Addressing Key Drug Manufacturer Concerns with PDABs and Upper Payment Limits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0497D"/>
    <w:multiLevelType w:val="hybridMultilevel"/>
    <w:tmpl w:val="0BE2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102E3"/>
    <w:multiLevelType w:val="hybridMultilevel"/>
    <w:tmpl w:val="F4D4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34AD8"/>
    <w:multiLevelType w:val="hybridMultilevel"/>
    <w:tmpl w:val="0EB4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A3"/>
    <w:rsid w:val="000316E9"/>
    <w:rsid w:val="0005077A"/>
    <w:rsid w:val="000532FD"/>
    <w:rsid w:val="00063D39"/>
    <w:rsid w:val="0007254B"/>
    <w:rsid w:val="00072A49"/>
    <w:rsid w:val="00075E9D"/>
    <w:rsid w:val="00084E3C"/>
    <w:rsid w:val="00086905"/>
    <w:rsid w:val="00090A7B"/>
    <w:rsid w:val="000A28A9"/>
    <w:rsid w:val="000B3FB2"/>
    <w:rsid w:val="000C4E83"/>
    <w:rsid w:val="000E3ECC"/>
    <w:rsid w:val="00120009"/>
    <w:rsid w:val="001222FE"/>
    <w:rsid w:val="00124EC8"/>
    <w:rsid w:val="0016050D"/>
    <w:rsid w:val="00174D44"/>
    <w:rsid w:val="00177C98"/>
    <w:rsid w:val="00181BE7"/>
    <w:rsid w:val="00182A02"/>
    <w:rsid w:val="001D46AE"/>
    <w:rsid w:val="001E13D7"/>
    <w:rsid w:val="001E423B"/>
    <w:rsid w:val="00204AD5"/>
    <w:rsid w:val="00235096"/>
    <w:rsid w:val="00267AE6"/>
    <w:rsid w:val="00281020"/>
    <w:rsid w:val="00286599"/>
    <w:rsid w:val="002A763B"/>
    <w:rsid w:val="002E52EA"/>
    <w:rsid w:val="002F50DD"/>
    <w:rsid w:val="00325F4B"/>
    <w:rsid w:val="0036395D"/>
    <w:rsid w:val="00370106"/>
    <w:rsid w:val="00374D25"/>
    <w:rsid w:val="003976A7"/>
    <w:rsid w:val="003A394D"/>
    <w:rsid w:val="003A66DF"/>
    <w:rsid w:val="003B1C69"/>
    <w:rsid w:val="003E7D00"/>
    <w:rsid w:val="004275A2"/>
    <w:rsid w:val="0044407E"/>
    <w:rsid w:val="0044710C"/>
    <w:rsid w:val="00447AB1"/>
    <w:rsid w:val="004549F7"/>
    <w:rsid w:val="00461CF0"/>
    <w:rsid w:val="004706A6"/>
    <w:rsid w:val="00483D62"/>
    <w:rsid w:val="00486163"/>
    <w:rsid w:val="004C19DC"/>
    <w:rsid w:val="004E5D45"/>
    <w:rsid w:val="004F2001"/>
    <w:rsid w:val="004F48B8"/>
    <w:rsid w:val="00510302"/>
    <w:rsid w:val="0054511E"/>
    <w:rsid w:val="0055308E"/>
    <w:rsid w:val="00556EF0"/>
    <w:rsid w:val="00566A0A"/>
    <w:rsid w:val="00573EE7"/>
    <w:rsid w:val="005D0BF4"/>
    <w:rsid w:val="005D43C7"/>
    <w:rsid w:val="005E27F5"/>
    <w:rsid w:val="005E5C0B"/>
    <w:rsid w:val="00602A4C"/>
    <w:rsid w:val="00654590"/>
    <w:rsid w:val="0065736B"/>
    <w:rsid w:val="00661B9C"/>
    <w:rsid w:val="00697CDE"/>
    <w:rsid w:val="006D302B"/>
    <w:rsid w:val="006D6568"/>
    <w:rsid w:val="006E4292"/>
    <w:rsid w:val="006E7F5A"/>
    <w:rsid w:val="006F3332"/>
    <w:rsid w:val="0070568E"/>
    <w:rsid w:val="00714FDC"/>
    <w:rsid w:val="007166A5"/>
    <w:rsid w:val="00761770"/>
    <w:rsid w:val="00762089"/>
    <w:rsid w:val="00765E89"/>
    <w:rsid w:val="007A1B1F"/>
    <w:rsid w:val="007A35C9"/>
    <w:rsid w:val="007A59D3"/>
    <w:rsid w:val="007B7FD3"/>
    <w:rsid w:val="007C2C87"/>
    <w:rsid w:val="007D2FC3"/>
    <w:rsid w:val="007D54F3"/>
    <w:rsid w:val="007E5BCA"/>
    <w:rsid w:val="007E7DC0"/>
    <w:rsid w:val="00805BA5"/>
    <w:rsid w:val="008070D7"/>
    <w:rsid w:val="00814ECD"/>
    <w:rsid w:val="008207C6"/>
    <w:rsid w:val="00824933"/>
    <w:rsid w:val="00827D82"/>
    <w:rsid w:val="0083777F"/>
    <w:rsid w:val="00850CD9"/>
    <w:rsid w:val="008600E3"/>
    <w:rsid w:val="00863D53"/>
    <w:rsid w:val="00871AD9"/>
    <w:rsid w:val="0088181E"/>
    <w:rsid w:val="008B011A"/>
    <w:rsid w:val="008B2ACE"/>
    <w:rsid w:val="008C757A"/>
    <w:rsid w:val="008D3DF6"/>
    <w:rsid w:val="00935F5F"/>
    <w:rsid w:val="0093645B"/>
    <w:rsid w:val="00957CBF"/>
    <w:rsid w:val="00962B90"/>
    <w:rsid w:val="00971073"/>
    <w:rsid w:val="009878E9"/>
    <w:rsid w:val="00991856"/>
    <w:rsid w:val="0099402A"/>
    <w:rsid w:val="009968B6"/>
    <w:rsid w:val="009A71B3"/>
    <w:rsid w:val="009B31F4"/>
    <w:rsid w:val="009C5D5B"/>
    <w:rsid w:val="009D09DC"/>
    <w:rsid w:val="009E44E7"/>
    <w:rsid w:val="009E4FCD"/>
    <w:rsid w:val="00A06B0E"/>
    <w:rsid w:val="00A11876"/>
    <w:rsid w:val="00A3329B"/>
    <w:rsid w:val="00A73399"/>
    <w:rsid w:val="00A81E52"/>
    <w:rsid w:val="00A82CC2"/>
    <w:rsid w:val="00A85661"/>
    <w:rsid w:val="00A90893"/>
    <w:rsid w:val="00A97584"/>
    <w:rsid w:val="00B0109F"/>
    <w:rsid w:val="00B056BF"/>
    <w:rsid w:val="00B06B48"/>
    <w:rsid w:val="00B17006"/>
    <w:rsid w:val="00B23288"/>
    <w:rsid w:val="00B24E63"/>
    <w:rsid w:val="00B25625"/>
    <w:rsid w:val="00B37B90"/>
    <w:rsid w:val="00B51CD4"/>
    <w:rsid w:val="00B56700"/>
    <w:rsid w:val="00B901A3"/>
    <w:rsid w:val="00BE032C"/>
    <w:rsid w:val="00BE3B75"/>
    <w:rsid w:val="00BF040A"/>
    <w:rsid w:val="00BF1419"/>
    <w:rsid w:val="00BF25B0"/>
    <w:rsid w:val="00C04E92"/>
    <w:rsid w:val="00C0620E"/>
    <w:rsid w:val="00C20A9F"/>
    <w:rsid w:val="00C222C8"/>
    <w:rsid w:val="00C3037A"/>
    <w:rsid w:val="00C311C6"/>
    <w:rsid w:val="00C424FB"/>
    <w:rsid w:val="00C45CE4"/>
    <w:rsid w:val="00C65323"/>
    <w:rsid w:val="00C86DA3"/>
    <w:rsid w:val="00CA2F82"/>
    <w:rsid w:val="00CD17E8"/>
    <w:rsid w:val="00CD3227"/>
    <w:rsid w:val="00CD6DAE"/>
    <w:rsid w:val="00D051B3"/>
    <w:rsid w:val="00D30AE6"/>
    <w:rsid w:val="00D30FFC"/>
    <w:rsid w:val="00D43BD7"/>
    <w:rsid w:val="00D43CEC"/>
    <w:rsid w:val="00D56750"/>
    <w:rsid w:val="00D577EF"/>
    <w:rsid w:val="00D6506A"/>
    <w:rsid w:val="00D82613"/>
    <w:rsid w:val="00D947C2"/>
    <w:rsid w:val="00DA124C"/>
    <w:rsid w:val="00DA6499"/>
    <w:rsid w:val="00DB7537"/>
    <w:rsid w:val="00DC0FE1"/>
    <w:rsid w:val="00DF25A6"/>
    <w:rsid w:val="00E029CC"/>
    <w:rsid w:val="00E0430D"/>
    <w:rsid w:val="00E12B99"/>
    <w:rsid w:val="00E14AA7"/>
    <w:rsid w:val="00E260A8"/>
    <w:rsid w:val="00E27223"/>
    <w:rsid w:val="00E30A26"/>
    <w:rsid w:val="00E3757C"/>
    <w:rsid w:val="00E45B30"/>
    <w:rsid w:val="00E6410D"/>
    <w:rsid w:val="00E7640A"/>
    <w:rsid w:val="00E84238"/>
    <w:rsid w:val="00E86E76"/>
    <w:rsid w:val="00F06C4F"/>
    <w:rsid w:val="00F663EE"/>
    <w:rsid w:val="00FB1D4F"/>
    <w:rsid w:val="00FE7D3E"/>
    <w:rsid w:val="00FF344A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4649"/>
  <w15:chartTrackingRefBased/>
  <w15:docId w15:val="{325B706B-4F74-4267-81DA-31AEBF82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1A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5625"/>
    <w:pPr>
      <w:keepNext/>
      <w:keepLines/>
      <w:spacing w:before="240"/>
      <w:ind w:left="720" w:right="720"/>
      <w:outlineLvl w:val="0"/>
    </w:pPr>
    <w:rPr>
      <w:rFonts w:asciiTheme="majorHAnsi" w:eastAsiaTheme="majorEastAsia" w:hAnsiTheme="majorHAnsi" w:cstheme="majorBidi"/>
      <w:kern w:val="20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625"/>
    <w:rPr>
      <w:rFonts w:asciiTheme="majorHAnsi" w:eastAsiaTheme="majorEastAsia" w:hAnsiTheme="majorHAnsi" w:cstheme="majorBidi"/>
      <w:kern w:val="20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901A3"/>
    <w:pPr>
      <w:tabs>
        <w:tab w:val="center" w:pos="4680"/>
        <w:tab w:val="right" w:pos="9360"/>
      </w:tabs>
    </w:pPr>
    <w:rPr>
      <w:rFonts w:ascii="Calibri" w:eastAsiaTheme="minorHAnsi" w:hAnsi="Calibr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01A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B901A3"/>
    <w:pPr>
      <w:tabs>
        <w:tab w:val="center" w:pos="4680"/>
        <w:tab w:val="right" w:pos="9360"/>
      </w:tabs>
    </w:pPr>
    <w:rPr>
      <w:rFonts w:ascii="Calibri" w:eastAsiaTheme="minorHAnsi" w:hAnsi="Calibr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01A3"/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unhideWhenUsed/>
    <w:rsid w:val="00B90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01A3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901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901A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901A3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1A3"/>
    <w:rPr>
      <w:rFonts w:ascii="Calibri" w:hAnsi="Calibri" w:cs="Consolas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B901A3"/>
  </w:style>
  <w:style w:type="paragraph" w:styleId="BodyText">
    <w:name w:val="Body Text"/>
    <w:basedOn w:val="Normal"/>
    <w:link w:val="BodyTextChar"/>
    <w:unhideWhenUsed/>
    <w:rsid w:val="00B901A3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B901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B3F8-0DEE-476F-8D19-21A9EFBC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Horvath</dc:creator>
  <cp:keywords/>
  <dc:description/>
  <cp:lastModifiedBy>Jane Horvath</cp:lastModifiedBy>
  <cp:revision>188</cp:revision>
  <dcterms:created xsi:type="dcterms:W3CDTF">2020-11-05T17:15:00Z</dcterms:created>
  <dcterms:modified xsi:type="dcterms:W3CDTF">2022-01-07T18:10:00Z</dcterms:modified>
</cp:coreProperties>
</file>